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F8DB" w14:textId="29575772" w:rsidR="00927C89" w:rsidRPr="00BA1DB3" w:rsidRDefault="00670B67" w:rsidP="00927C89">
      <w:pPr>
        <w:pStyle w:val="2"/>
        <w:adjustRightInd w:val="0"/>
        <w:snapToGrid w:val="0"/>
        <w:spacing w:beforeLines="50" w:before="120" w:afterLines="50" w:after="120"/>
        <w:ind w:left="1560" w:hangingChars="487" w:hanging="1560"/>
        <w:jc w:val="center"/>
        <w:rPr>
          <w:b/>
          <w:sz w:val="32"/>
          <w:szCs w:val="32"/>
        </w:rPr>
      </w:pPr>
      <w:bookmarkStart w:id="0" w:name="_GoBack"/>
      <w:r w:rsidRPr="00670B67">
        <w:rPr>
          <w:rFonts w:hint="eastAsia"/>
          <w:b/>
          <w:sz w:val="32"/>
          <w:szCs w:val="32"/>
        </w:rPr>
        <w:t>「穩定幣之交易風險與監理」演講</w:t>
      </w:r>
      <w:bookmarkEnd w:id="0"/>
    </w:p>
    <w:p w14:paraId="5F3D4D70" w14:textId="2876C929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52441A86" w:rsidR="005878F0" w:rsidRPr="005878F0" w:rsidRDefault="005878F0" w:rsidP="005878F0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一、說明：</w:t>
      </w:r>
    </w:p>
    <w:p w14:paraId="2AEDBED2" w14:textId="6A057812" w:rsidR="00670B67" w:rsidRPr="00670B67" w:rsidRDefault="00670B67" w:rsidP="00670B67">
      <w:pPr>
        <w:spacing w:line="360" w:lineRule="auto"/>
        <w:ind w:left="567"/>
        <w:jc w:val="both"/>
        <w:rPr>
          <w:rFonts w:ascii="標楷體" w:eastAsia="標楷體" w:hAnsi="標楷體" w:cstheme="minorBidi" w:hint="eastAsia"/>
          <w:sz w:val="28"/>
          <w:szCs w:val="28"/>
        </w:rPr>
      </w:pPr>
      <w:r w:rsidRPr="00670B67">
        <w:rPr>
          <w:rFonts w:ascii="標楷體" w:eastAsia="標楷體" w:hAnsi="標楷體" w:cstheme="minorBidi" w:hint="eastAsia"/>
          <w:sz w:val="28"/>
          <w:szCs w:val="28"/>
        </w:rPr>
        <w:t>本次演講主題乃著重於</w:t>
      </w:r>
      <w:proofErr w:type="gramStart"/>
      <w:r w:rsidRPr="00670B67">
        <w:rPr>
          <w:rFonts w:ascii="標楷體" w:eastAsia="標楷體" w:hAnsi="標楷體" w:cstheme="minorBidi" w:hint="eastAsia"/>
          <w:sz w:val="28"/>
          <w:szCs w:val="28"/>
        </w:rPr>
        <w:t>穩定幣</w:t>
      </w:r>
      <w:proofErr w:type="gramEnd"/>
      <w:r w:rsidRPr="00670B67">
        <w:rPr>
          <w:rFonts w:ascii="標楷體" w:eastAsia="標楷體" w:hAnsi="標楷體" w:cstheme="minorBidi" w:hint="eastAsia"/>
          <w:sz w:val="28"/>
          <w:szCs w:val="28"/>
        </w:rPr>
        <w:t>在當前金融科技創新領域中之獨特地位，以及其與傳統貨幣間之相似與差異性。</w:t>
      </w:r>
    </w:p>
    <w:p w14:paraId="537C340B" w14:textId="7660F89E" w:rsidR="005878F0" w:rsidRDefault="00670B67" w:rsidP="00670B67">
      <w:pPr>
        <w:spacing w:line="360" w:lineRule="auto"/>
        <w:ind w:left="567"/>
        <w:jc w:val="both"/>
        <w:rPr>
          <w:rFonts w:ascii="標楷體" w:eastAsia="標楷體" w:hAnsi="標楷體" w:cstheme="minorBidi"/>
          <w:sz w:val="28"/>
          <w:szCs w:val="28"/>
        </w:rPr>
      </w:pPr>
      <w:r w:rsidRPr="00670B67">
        <w:rPr>
          <w:rFonts w:ascii="標楷體" w:eastAsia="標楷體" w:hAnsi="標楷體" w:cstheme="minorBidi" w:hint="eastAsia"/>
          <w:sz w:val="28"/>
          <w:szCs w:val="28"/>
        </w:rPr>
        <w:t>蓋因</w:t>
      </w:r>
      <w:proofErr w:type="gramStart"/>
      <w:r w:rsidRPr="00670B67">
        <w:rPr>
          <w:rFonts w:ascii="標楷體" w:eastAsia="標楷體" w:hAnsi="標楷體" w:cstheme="minorBidi" w:hint="eastAsia"/>
          <w:sz w:val="28"/>
          <w:szCs w:val="28"/>
        </w:rPr>
        <w:t>穩定幣</w:t>
      </w:r>
      <w:proofErr w:type="gramEnd"/>
      <w:r w:rsidRPr="00670B67">
        <w:rPr>
          <w:rFonts w:ascii="標楷體" w:eastAsia="標楷體" w:hAnsi="標楷體" w:cstheme="minorBidi" w:hint="eastAsia"/>
          <w:sz w:val="28"/>
          <w:szCs w:val="28"/>
        </w:rPr>
        <w:t>具有結合貨幣與科技，可程式化及資產數位代幣化之特性，並於跨境支付與去中心化金融等領域，具有顯著之發展潛力。惟因</w:t>
      </w:r>
      <w:proofErr w:type="gramStart"/>
      <w:r w:rsidRPr="00670B67">
        <w:rPr>
          <w:rFonts w:ascii="標楷體" w:eastAsia="標楷體" w:hAnsi="標楷體" w:cstheme="minorBidi" w:hint="eastAsia"/>
          <w:sz w:val="28"/>
          <w:szCs w:val="28"/>
        </w:rPr>
        <w:t>穩定幣</w:t>
      </w:r>
      <w:proofErr w:type="gramEnd"/>
      <w:r w:rsidRPr="00670B67">
        <w:rPr>
          <w:rFonts w:ascii="標楷體" w:eastAsia="標楷體" w:hAnsi="標楷體" w:cstheme="minorBidi" w:hint="eastAsia"/>
          <w:sz w:val="28"/>
          <w:szCs w:val="28"/>
        </w:rPr>
        <w:t>交易目前在各國法制上仍普遍面臨規範模糊、監管不足之挑戰，在其發行、交易過程乃至防堵非法活動，亦有待立法完善。是擬透過本次演講向本會會員分析</w:t>
      </w:r>
      <w:proofErr w:type="gramStart"/>
      <w:r w:rsidRPr="00670B67">
        <w:rPr>
          <w:rFonts w:ascii="標楷體" w:eastAsia="標楷體" w:hAnsi="標楷體" w:cstheme="minorBidi" w:hint="eastAsia"/>
          <w:sz w:val="28"/>
          <w:szCs w:val="28"/>
        </w:rPr>
        <w:t>穩定幣</w:t>
      </w:r>
      <w:proofErr w:type="gramEnd"/>
      <w:r w:rsidRPr="00670B67">
        <w:rPr>
          <w:rFonts w:ascii="標楷體" w:eastAsia="標楷體" w:hAnsi="標楷體" w:cstheme="minorBidi" w:hint="eastAsia"/>
          <w:sz w:val="28"/>
          <w:szCs w:val="28"/>
        </w:rPr>
        <w:t>交易中所存在風險，如流動性危機、系統安全漏洞，以及資產儲備透明度不足等問題。進而，借鑒新加坡與歐盟就</w:t>
      </w:r>
      <w:proofErr w:type="gramStart"/>
      <w:r w:rsidRPr="00670B67">
        <w:rPr>
          <w:rFonts w:ascii="標楷體" w:eastAsia="標楷體" w:hAnsi="標楷體" w:cstheme="minorBidi" w:hint="eastAsia"/>
          <w:sz w:val="28"/>
          <w:szCs w:val="28"/>
        </w:rPr>
        <w:t>穩定幣</w:t>
      </w:r>
      <w:proofErr w:type="gramEnd"/>
      <w:r w:rsidRPr="00670B67">
        <w:rPr>
          <w:rFonts w:ascii="標楷體" w:eastAsia="標楷體" w:hAnsi="標楷體" w:cstheme="minorBidi" w:hint="eastAsia"/>
          <w:sz w:val="28"/>
          <w:szCs w:val="28"/>
        </w:rPr>
        <w:t>之立法，以確保虛擬資產儲備之透明度、消費者權益保障，以及對虛擬貨幣交易所進行資產管理與治理規範，將有助於防範</w:t>
      </w:r>
      <w:proofErr w:type="gramStart"/>
      <w:r w:rsidRPr="00670B67">
        <w:rPr>
          <w:rFonts w:ascii="標楷體" w:eastAsia="標楷體" w:hAnsi="標楷體" w:cstheme="minorBidi" w:hint="eastAsia"/>
          <w:sz w:val="28"/>
          <w:szCs w:val="28"/>
        </w:rPr>
        <w:t>穩定幣</w:t>
      </w:r>
      <w:proofErr w:type="gramEnd"/>
      <w:r w:rsidRPr="00670B67">
        <w:rPr>
          <w:rFonts w:ascii="標楷體" w:eastAsia="標楷體" w:hAnsi="標楷體" w:cstheme="minorBidi" w:hint="eastAsia"/>
          <w:sz w:val="28"/>
          <w:szCs w:val="28"/>
        </w:rPr>
        <w:t>風險，為</w:t>
      </w:r>
      <w:proofErr w:type="gramStart"/>
      <w:r w:rsidRPr="00670B67">
        <w:rPr>
          <w:rFonts w:ascii="標楷體" w:eastAsia="標楷體" w:hAnsi="標楷體" w:cstheme="minorBidi" w:hint="eastAsia"/>
          <w:sz w:val="28"/>
          <w:szCs w:val="28"/>
        </w:rPr>
        <w:t>穩定幣</w:t>
      </w:r>
      <w:proofErr w:type="gramEnd"/>
      <w:r w:rsidRPr="00670B67">
        <w:rPr>
          <w:rFonts w:ascii="標楷體" w:eastAsia="標楷體" w:hAnsi="標楷體" w:cstheme="minorBidi" w:hint="eastAsia"/>
          <w:sz w:val="28"/>
          <w:szCs w:val="28"/>
        </w:rPr>
        <w:t>之持續發展奠定堅實基礎。</w:t>
      </w:r>
      <w:r w:rsidR="004317B7">
        <w:rPr>
          <w:rFonts w:ascii="標楷體" w:eastAsia="標楷體" w:hAnsi="標楷體" w:cstheme="minorBidi" w:hint="eastAsia"/>
          <w:sz w:val="28"/>
          <w:szCs w:val="28"/>
        </w:rPr>
        <w:t>歡迎會員踴躍參加。</w:t>
      </w:r>
    </w:p>
    <w:p w14:paraId="1022D99C" w14:textId="78DC70C8" w:rsidR="00885DAB" w:rsidRPr="005878F0" w:rsidRDefault="00885DAB" w:rsidP="00885DAB">
      <w:pPr>
        <w:spacing w:line="360" w:lineRule="auto"/>
        <w:jc w:val="both"/>
        <w:rPr>
          <w:rFonts w:asciiTheme="minorHAnsi" w:eastAsiaTheme="minorEastAsia" w:hAnsiTheme="minorHAnsi" w:cstheme="minorBidi"/>
          <w:szCs w:val="22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二、主辦單位：全國律師聯合</w:t>
      </w:r>
      <w:r w:rsidRPr="00885DAB">
        <w:rPr>
          <w:rFonts w:ascii="標楷體" w:eastAsia="標楷體" w:hAnsi="標楷體" w:cstheme="minorBidi" w:hint="eastAsia"/>
          <w:sz w:val="28"/>
          <w:szCs w:val="28"/>
        </w:rPr>
        <w:t>會</w:t>
      </w:r>
      <w:r w:rsidR="00670B67" w:rsidRPr="00670B67">
        <w:rPr>
          <w:rFonts w:ascii="標楷體" w:eastAsia="標楷體" w:hAnsi="標楷體" w:cstheme="minorBidi" w:hint="eastAsia"/>
          <w:sz w:val="28"/>
          <w:szCs w:val="28"/>
        </w:rPr>
        <w:t>數位經濟與金融科技委員會</w:t>
      </w:r>
    </w:p>
    <w:p w14:paraId="5EE5658F" w14:textId="75BB0B11" w:rsidR="005878F0" w:rsidRDefault="00885DAB" w:rsidP="004460B7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三</w:t>
      </w:r>
      <w:r w:rsidR="005878F0" w:rsidRPr="005878F0">
        <w:rPr>
          <w:rFonts w:eastAsia="標楷體" w:hint="eastAsia"/>
          <w:noProof/>
          <w:sz w:val="28"/>
          <w:szCs w:val="28"/>
        </w:rPr>
        <w:t>、</w:t>
      </w:r>
      <w:r>
        <w:rPr>
          <w:rFonts w:eastAsia="標楷體" w:hint="eastAsia"/>
          <w:noProof/>
          <w:sz w:val="28"/>
          <w:szCs w:val="28"/>
        </w:rPr>
        <w:t>名稱</w:t>
      </w:r>
      <w:r w:rsidR="005878F0" w:rsidRPr="005878F0">
        <w:rPr>
          <w:rFonts w:eastAsia="標楷體" w:hint="eastAsia"/>
          <w:noProof/>
          <w:sz w:val="28"/>
          <w:szCs w:val="28"/>
        </w:rPr>
        <w:t>：</w:t>
      </w:r>
      <w:r w:rsidR="00670B67" w:rsidRPr="00670B67">
        <w:rPr>
          <w:rFonts w:eastAsia="標楷體" w:hint="eastAsia"/>
          <w:noProof/>
          <w:sz w:val="28"/>
          <w:szCs w:val="28"/>
        </w:rPr>
        <w:t>「穩定幣之交易風險與監理」演講</w:t>
      </w:r>
    </w:p>
    <w:p w14:paraId="2175F771" w14:textId="0F9425DD" w:rsidR="005878F0" w:rsidRPr="005878F0" w:rsidRDefault="00885DAB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四</w:t>
      </w:r>
      <w:r w:rsidR="005878F0" w:rsidRPr="005878F0">
        <w:rPr>
          <w:rFonts w:eastAsia="標楷體" w:hint="eastAsia"/>
          <w:noProof/>
          <w:sz w:val="28"/>
          <w:szCs w:val="28"/>
        </w:rPr>
        <w:t>、時間：</w:t>
      </w:r>
      <w:r w:rsidR="005878F0" w:rsidRPr="005878F0">
        <w:rPr>
          <w:rFonts w:eastAsia="標楷體" w:hint="eastAsia"/>
          <w:noProof/>
          <w:sz w:val="28"/>
          <w:szCs w:val="28"/>
        </w:rPr>
        <w:t>112</w:t>
      </w:r>
      <w:r w:rsidR="005878F0" w:rsidRPr="005878F0">
        <w:rPr>
          <w:rFonts w:eastAsia="標楷體" w:hint="eastAsia"/>
          <w:noProof/>
          <w:sz w:val="28"/>
          <w:szCs w:val="28"/>
        </w:rPr>
        <w:t>年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4317B7">
        <w:rPr>
          <w:rFonts w:eastAsia="標楷體" w:hint="eastAsia"/>
          <w:noProof/>
          <w:sz w:val="28"/>
          <w:szCs w:val="28"/>
        </w:rPr>
        <w:t>2</w:t>
      </w:r>
      <w:r w:rsidR="005878F0" w:rsidRPr="005878F0">
        <w:rPr>
          <w:rFonts w:eastAsia="標楷體" w:hint="eastAsia"/>
          <w:noProof/>
          <w:sz w:val="28"/>
          <w:szCs w:val="28"/>
        </w:rPr>
        <w:t>月</w:t>
      </w:r>
      <w:r w:rsidR="00670B67">
        <w:rPr>
          <w:rFonts w:eastAsia="標楷體" w:hint="eastAsia"/>
          <w:noProof/>
          <w:sz w:val="28"/>
          <w:szCs w:val="28"/>
        </w:rPr>
        <w:t>22</w:t>
      </w:r>
      <w:r w:rsidR="005878F0" w:rsidRPr="005878F0">
        <w:rPr>
          <w:rFonts w:eastAsia="標楷體" w:hint="eastAsia"/>
          <w:noProof/>
          <w:sz w:val="28"/>
          <w:szCs w:val="28"/>
        </w:rPr>
        <w:t>日</w:t>
      </w:r>
      <w:r w:rsidR="005878F0" w:rsidRPr="005878F0">
        <w:rPr>
          <w:rFonts w:eastAsia="標楷體" w:hint="eastAsia"/>
          <w:noProof/>
          <w:sz w:val="28"/>
          <w:szCs w:val="28"/>
        </w:rPr>
        <w:t>(</w:t>
      </w:r>
      <w:r w:rsidR="005878F0" w:rsidRPr="005878F0">
        <w:rPr>
          <w:rFonts w:eastAsia="標楷體" w:hint="eastAsia"/>
          <w:noProof/>
          <w:sz w:val="28"/>
          <w:szCs w:val="28"/>
        </w:rPr>
        <w:t>星期</w:t>
      </w:r>
      <w:r w:rsidR="00670B67">
        <w:rPr>
          <w:rFonts w:eastAsia="標楷體" w:hint="eastAsia"/>
          <w:noProof/>
          <w:sz w:val="28"/>
          <w:szCs w:val="28"/>
        </w:rPr>
        <w:t>五</w:t>
      </w:r>
      <w:r w:rsidR="005878F0" w:rsidRPr="005878F0">
        <w:rPr>
          <w:rFonts w:eastAsia="標楷體" w:hint="eastAsia"/>
          <w:noProof/>
          <w:sz w:val="28"/>
          <w:szCs w:val="28"/>
        </w:rPr>
        <w:t>)</w:t>
      </w:r>
      <w:r w:rsidR="00670B67">
        <w:rPr>
          <w:rFonts w:eastAsia="標楷體" w:hint="eastAsia"/>
          <w:noProof/>
          <w:sz w:val="28"/>
          <w:szCs w:val="28"/>
        </w:rPr>
        <w:t>中</w:t>
      </w:r>
      <w:r w:rsidR="004953C1">
        <w:rPr>
          <w:rFonts w:eastAsia="標楷體" w:hint="eastAsia"/>
          <w:noProof/>
          <w:sz w:val="28"/>
          <w:szCs w:val="28"/>
        </w:rPr>
        <w:t>午</w:t>
      </w:r>
      <w:r w:rsidR="004460B7">
        <w:rPr>
          <w:rFonts w:eastAsia="標楷體" w:hint="eastAsia"/>
          <w:noProof/>
          <w:sz w:val="28"/>
          <w:szCs w:val="28"/>
        </w:rPr>
        <w:t>1</w:t>
      </w:r>
      <w:r w:rsidR="00670B67">
        <w:rPr>
          <w:rFonts w:eastAsia="標楷體" w:hint="eastAsia"/>
          <w:noProof/>
          <w:sz w:val="28"/>
          <w:szCs w:val="28"/>
        </w:rPr>
        <w:t>2</w:t>
      </w:r>
      <w:r w:rsidR="005878F0" w:rsidRPr="005878F0">
        <w:rPr>
          <w:rFonts w:eastAsia="標楷體" w:hint="eastAsia"/>
          <w:noProof/>
          <w:sz w:val="28"/>
          <w:szCs w:val="28"/>
        </w:rPr>
        <w:t>：</w:t>
      </w:r>
      <w:r w:rsidR="005878F0" w:rsidRPr="005878F0">
        <w:rPr>
          <w:rFonts w:eastAsia="標楷體" w:hint="eastAsia"/>
          <w:noProof/>
          <w:sz w:val="28"/>
          <w:szCs w:val="28"/>
        </w:rPr>
        <w:t>00</w:t>
      </w:r>
      <w:r w:rsidR="005878F0" w:rsidRPr="005878F0">
        <w:rPr>
          <w:rFonts w:eastAsia="標楷體" w:hint="eastAsia"/>
          <w:noProof/>
          <w:sz w:val="28"/>
          <w:szCs w:val="28"/>
        </w:rPr>
        <w:t>至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670B67">
        <w:rPr>
          <w:rFonts w:eastAsia="標楷體" w:hint="eastAsia"/>
          <w:noProof/>
          <w:sz w:val="28"/>
          <w:szCs w:val="28"/>
        </w:rPr>
        <w:t>3</w:t>
      </w:r>
      <w:r w:rsidR="005878F0" w:rsidRPr="005878F0">
        <w:rPr>
          <w:rFonts w:eastAsia="標楷體" w:hint="eastAsia"/>
          <w:noProof/>
          <w:sz w:val="28"/>
          <w:szCs w:val="28"/>
        </w:rPr>
        <w:t>：</w:t>
      </w:r>
      <w:r w:rsidR="005878F0" w:rsidRPr="005878F0">
        <w:rPr>
          <w:rFonts w:eastAsia="標楷體" w:hint="eastAsia"/>
          <w:noProof/>
          <w:sz w:val="28"/>
          <w:szCs w:val="28"/>
        </w:rPr>
        <w:t>00</w:t>
      </w:r>
    </w:p>
    <w:p w14:paraId="45A27162" w14:textId="7F792310" w:rsidR="005878F0" w:rsidRPr="005878F0" w:rsidRDefault="00885DAB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五</w:t>
      </w:r>
      <w:r w:rsidR="005878F0" w:rsidRPr="005878F0">
        <w:rPr>
          <w:rFonts w:eastAsia="標楷體" w:hint="eastAsia"/>
          <w:noProof/>
          <w:sz w:val="28"/>
          <w:szCs w:val="28"/>
        </w:rPr>
        <w:t>、地點：</w:t>
      </w:r>
      <w:r>
        <w:rPr>
          <w:rFonts w:eastAsia="標楷體" w:hint="eastAsia"/>
          <w:noProof/>
          <w:sz w:val="28"/>
          <w:szCs w:val="28"/>
        </w:rPr>
        <w:t>全國律師聯合</w:t>
      </w:r>
      <w:r w:rsidR="004460B7">
        <w:rPr>
          <w:rFonts w:eastAsia="標楷體" w:hint="eastAsia"/>
          <w:noProof/>
          <w:sz w:val="28"/>
          <w:szCs w:val="28"/>
        </w:rPr>
        <w:t>會</w:t>
      </w:r>
      <w:r w:rsidR="005878F0" w:rsidRPr="005878F0">
        <w:rPr>
          <w:rFonts w:eastAsia="標楷體" w:hint="eastAsia"/>
          <w:noProof/>
          <w:sz w:val="28"/>
          <w:szCs w:val="28"/>
        </w:rPr>
        <w:t>會議室</w:t>
      </w:r>
      <w:r w:rsidR="005878F0" w:rsidRPr="005878F0">
        <w:rPr>
          <w:rFonts w:eastAsia="標楷體" w:hint="eastAsia"/>
          <w:noProof/>
          <w:sz w:val="28"/>
          <w:szCs w:val="28"/>
        </w:rPr>
        <w:t>(</w:t>
      </w:r>
      <w:r w:rsidR="005878F0" w:rsidRPr="005878F0">
        <w:rPr>
          <w:rFonts w:eastAsia="標楷體" w:hint="eastAsia"/>
          <w:noProof/>
          <w:sz w:val="28"/>
          <w:szCs w:val="28"/>
        </w:rPr>
        <w:t>台北市中正區</w:t>
      </w:r>
      <w:r>
        <w:rPr>
          <w:rFonts w:eastAsia="標楷體" w:hint="eastAsia"/>
          <w:noProof/>
          <w:sz w:val="28"/>
          <w:szCs w:val="28"/>
        </w:rPr>
        <w:t>忠孝西</w:t>
      </w:r>
      <w:r w:rsidR="005878F0" w:rsidRPr="005878F0">
        <w:rPr>
          <w:rFonts w:eastAsia="標楷體" w:hint="eastAsia"/>
          <w:noProof/>
          <w:sz w:val="28"/>
          <w:szCs w:val="28"/>
        </w:rPr>
        <w:t>路一段</w:t>
      </w:r>
      <w:r>
        <w:rPr>
          <w:rFonts w:eastAsia="標楷體" w:hint="eastAsia"/>
          <w:noProof/>
          <w:sz w:val="28"/>
          <w:szCs w:val="28"/>
        </w:rPr>
        <w:t>4</w:t>
      </w:r>
      <w:r w:rsidR="005878F0" w:rsidRPr="005878F0">
        <w:rPr>
          <w:rFonts w:eastAsia="標楷體" w:hint="eastAsia"/>
          <w:noProof/>
          <w:sz w:val="28"/>
          <w:szCs w:val="28"/>
        </w:rPr>
        <w:t>號</w:t>
      </w:r>
      <w:r>
        <w:rPr>
          <w:rFonts w:eastAsia="標楷體" w:hint="eastAsia"/>
          <w:noProof/>
          <w:sz w:val="28"/>
          <w:szCs w:val="28"/>
        </w:rPr>
        <w:t>7</w:t>
      </w:r>
      <w:r w:rsidR="005878F0" w:rsidRPr="005878F0">
        <w:rPr>
          <w:rFonts w:eastAsia="標楷體" w:hint="eastAsia"/>
          <w:noProof/>
          <w:sz w:val="28"/>
          <w:szCs w:val="28"/>
        </w:rPr>
        <w:t>樓</w:t>
      </w:r>
      <w:r>
        <w:rPr>
          <w:rFonts w:eastAsia="標楷體" w:hint="eastAsia"/>
          <w:noProof/>
          <w:sz w:val="28"/>
          <w:szCs w:val="28"/>
        </w:rPr>
        <w:t>Ｃ室</w:t>
      </w:r>
      <w:r w:rsidR="005878F0" w:rsidRPr="005878F0">
        <w:rPr>
          <w:rFonts w:eastAsia="標楷體" w:hint="eastAsia"/>
          <w:noProof/>
          <w:sz w:val="28"/>
          <w:szCs w:val="28"/>
        </w:rPr>
        <w:t>)</w:t>
      </w:r>
    </w:p>
    <w:p w14:paraId="2CA1406F" w14:textId="481F69FE" w:rsidR="00927C89" w:rsidRDefault="0018322A" w:rsidP="00D246BC">
      <w:pPr>
        <w:pStyle w:val="2"/>
        <w:spacing w:beforeLines="50" w:before="120" w:afterLines="50" w:after="120"/>
        <w:ind w:left="560" w:hangingChars="200" w:hanging="560"/>
      </w:pPr>
      <w:bookmarkStart w:id="1" w:name="_Hlk96353895"/>
      <w:r>
        <w:rPr>
          <w:rFonts w:hint="eastAsia"/>
        </w:rPr>
        <w:t>六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4317B7">
        <w:rPr>
          <w:rFonts w:hint="eastAsia"/>
        </w:rPr>
        <w:t>實體＋線上同步進行。</w:t>
      </w:r>
      <w:r w:rsidR="00927C89" w:rsidRPr="004317B7">
        <w:rPr>
          <w:rFonts w:hint="eastAsia"/>
        </w:rPr>
        <w:t>實體</w:t>
      </w:r>
      <w:r w:rsidR="00670B67">
        <w:rPr>
          <w:rFonts w:hint="eastAsia"/>
        </w:rPr>
        <w:t>4</w:t>
      </w:r>
      <w:r w:rsidR="00885DAB">
        <w:rPr>
          <w:rFonts w:hint="eastAsia"/>
        </w:rPr>
        <w:t>0</w:t>
      </w:r>
      <w:r w:rsidR="004317B7" w:rsidRPr="004317B7">
        <w:rPr>
          <w:rFonts w:hint="eastAsia"/>
        </w:rPr>
        <w:t>位</w:t>
      </w:r>
      <w:r w:rsidR="00D246BC">
        <w:rPr>
          <w:rFonts w:hint="eastAsia"/>
        </w:rPr>
        <w:t>(</w:t>
      </w:r>
      <w:r w:rsidR="00D246BC">
        <w:rPr>
          <w:rFonts w:hint="eastAsia"/>
        </w:rPr>
        <w:t>備便當</w:t>
      </w:r>
      <w:r w:rsidR="00D246BC">
        <w:rPr>
          <w:rFonts w:hint="eastAsia"/>
        </w:rPr>
        <w:t>)</w:t>
      </w:r>
      <w:r w:rsidR="00885DAB">
        <w:rPr>
          <w:rFonts w:hint="eastAsia"/>
        </w:rPr>
        <w:t>，線上</w:t>
      </w:r>
      <w:r w:rsidR="00885DAB">
        <w:rPr>
          <w:rFonts w:hint="eastAsia"/>
        </w:rPr>
        <w:t>200</w:t>
      </w:r>
      <w:r w:rsidR="00885DAB">
        <w:rPr>
          <w:rFonts w:hint="eastAsia"/>
        </w:rPr>
        <w:t>位</w:t>
      </w:r>
      <w:r w:rsidR="00927C89" w:rsidRPr="004317B7">
        <w:rPr>
          <w:rFonts w:hint="eastAsia"/>
        </w:rPr>
        <w:t>。</w:t>
      </w:r>
    </w:p>
    <w:p w14:paraId="656094A2" w14:textId="02A0DA33" w:rsidR="00081564" w:rsidRDefault="0018322A" w:rsidP="00BC6DA5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七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</w:t>
      </w:r>
      <w:r w:rsidR="00BC6DA5">
        <w:rPr>
          <w:rStyle w:val="a4"/>
          <w:rFonts w:ascii="標楷體" w:hAnsi="標楷體" w:hint="eastAsia"/>
          <w:sz w:val="28"/>
          <w:szCs w:val="28"/>
        </w:rPr>
        <w:t>即日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4327C0">
        <w:rPr>
          <w:rFonts w:ascii="標楷體" w:hAnsi="標楷體" w:hint="eastAsia"/>
        </w:rPr>
        <w:t>1</w:t>
      </w:r>
      <w:r w:rsidR="004460B7">
        <w:rPr>
          <w:rFonts w:ascii="標楷體" w:hAnsi="標楷體" w:hint="eastAsia"/>
        </w:rPr>
        <w:t>2</w:t>
      </w:r>
      <w:r w:rsidR="003660DC" w:rsidRPr="005F56A0">
        <w:rPr>
          <w:rFonts w:ascii="標楷體" w:hAnsi="標楷體" w:hint="eastAsia"/>
        </w:rPr>
        <w:t>月</w:t>
      </w:r>
      <w:r w:rsidR="004460B7">
        <w:rPr>
          <w:rFonts w:ascii="標楷體" w:hAnsi="標楷體" w:hint="eastAsia"/>
        </w:rPr>
        <w:t>1</w:t>
      </w:r>
      <w:r w:rsidR="00670B67">
        <w:rPr>
          <w:rFonts w:ascii="標楷體" w:hAnsi="標楷體" w:hint="eastAsia"/>
        </w:rPr>
        <w:t>9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  <w:r w:rsidR="00670B67">
        <w:rPr>
          <w:rFonts w:ascii="標楷體" w:hAnsi="標楷體" w:hint="eastAsia"/>
        </w:rPr>
        <w:t>二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</w:t>
      </w:r>
    </w:p>
    <w:p w14:paraId="7E4BD74E" w14:textId="698A374F" w:rsidR="00081564" w:rsidRDefault="00081564" w:rsidP="00BC6DA5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hint="eastAsia"/>
        </w:rPr>
        <w:t xml:space="preserve">    </w:t>
      </w:r>
      <w:r w:rsidR="006461CD" w:rsidRPr="005F56A0">
        <w:rPr>
          <w:rFonts w:ascii="標楷體" w:hAnsi="標楷體" w:hint="eastAsia"/>
        </w:rPr>
        <w:t>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2" w:name="_Hlk96359109"/>
      <w:r w:rsidR="00927C89" w:rsidRPr="005F56A0">
        <w:rPr>
          <w:rFonts w:ascii="標楷體" w:hAnsi="標楷體" w:hint="eastAsia"/>
        </w:rPr>
        <w:t>逕向本會</w:t>
      </w:r>
      <w:bookmarkEnd w:id="2"/>
      <w:r w:rsidR="00927C89" w:rsidRPr="005F56A0">
        <w:rPr>
          <w:rFonts w:ascii="標楷體" w:hAnsi="標楷體" w:hint="eastAsia"/>
        </w:rPr>
        <w:t>完成報名，</w:t>
      </w:r>
      <w:r w:rsidR="003A6EB1" w:rsidRPr="005F56A0">
        <w:rPr>
          <w:rFonts w:ascii="標楷體" w:hAnsi="標楷體" w:cs="Arial" w:hint="eastAsia"/>
        </w:rPr>
        <w:t>以報名先後順序為準，額滿將提早關閉</w:t>
      </w:r>
    </w:p>
    <w:p w14:paraId="043BF182" w14:textId="77777777" w:rsidR="00D246BC" w:rsidRDefault="00081564" w:rsidP="00BC6DA5">
      <w:pPr>
        <w:pStyle w:val="2"/>
        <w:spacing w:beforeLines="50" w:before="120" w:afterLines="50" w:after="120"/>
        <w:jc w:val="both"/>
        <w:rPr>
          <w:rFonts w:cs="Arial"/>
        </w:rPr>
      </w:pPr>
      <w:r>
        <w:rPr>
          <w:rFonts w:ascii="標楷體" w:hAnsi="標楷體" w:cs="Arial" w:hint="eastAsia"/>
        </w:rPr>
        <w:t xml:space="preserve">    </w:t>
      </w:r>
      <w:r w:rsidR="003A6EB1" w:rsidRPr="005F56A0">
        <w:rPr>
          <w:rFonts w:ascii="標楷體" w:hAnsi="標楷體" w:cs="Arial" w:hint="eastAsia"/>
        </w:rPr>
        <w:t>報名系統。報名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  <w:r w:rsidR="005A0E64">
        <w:rPr>
          <w:rFonts w:ascii="標楷體" w:hAnsi="標楷體" w:cs="Arial" w:hint="eastAsia"/>
        </w:rPr>
        <w:t>1</w:t>
      </w:r>
      <w:r w:rsidR="004460B7">
        <w:rPr>
          <w:rFonts w:ascii="標楷體" w:hAnsi="標楷體" w:cs="Arial" w:hint="eastAsia"/>
        </w:rPr>
        <w:t>2</w:t>
      </w:r>
      <w:r w:rsidR="00324A74" w:rsidRPr="005F56A0">
        <w:rPr>
          <w:rFonts w:ascii="標楷體" w:hAnsi="標楷體" w:cs="Arial" w:hint="eastAsia"/>
        </w:rPr>
        <w:t>月</w:t>
      </w:r>
      <w:r w:rsidR="004460B7">
        <w:rPr>
          <w:rFonts w:ascii="標楷體" w:hAnsi="標楷體" w:cs="Arial" w:hint="eastAsia"/>
        </w:rPr>
        <w:t>1</w:t>
      </w:r>
      <w:r w:rsidR="00670B67">
        <w:rPr>
          <w:rFonts w:ascii="標楷體" w:hAnsi="標楷體" w:cs="Arial" w:hint="eastAsia"/>
        </w:rPr>
        <w:t>9</w:t>
      </w:r>
      <w:r w:rsidR="00324A74" w:rsidRPr="005F56A0">
        <w:rPr>
          <w:rFonts w:ascii="標楷體" w:hAnsi="標楷體" w:cs="Arial" w:hint="eastAsia"/>
        </w:rPr>
        <w:t>日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班前以電子郵件方式</w:t>
      </w:r>
      <w:r w:rsidR="003A6EB1" w:rsidRPr="003A6EB1">
        <w:rPr>
          <w:rFonts w:cs="Arial" w:hint="eastAsia"/>
        </w:rPr>
        <w:t>通知</w:t>
      </w:r>
      <w:r w:rsidR="0018322A">
        <w:rPr>
          <w:rFonts w:cs="Arial" w:hint="eastAsia"/>
        </w:rPr>
        <w:t>，並</w:t>
      </w:r>
      <w:r w:rsidR="00D246BC">
        <w:rPr>
          <w:rFonts w:cs="Arial" w:hint="eastAsia"/>
        </w:rPr>
        <w:t>由</w:t>
      </w:r>
    </w:p>
    <w:p w14:paraId="69832D75" w14:textId="6C1A8DF3" w:rsidR="005F14B6" w:rsidRDefault="00D246BC" w:rsidP="00BC6DA5">
      <w:pPr>
        <w:pStyle w:val="2"/>
        <w:spacing w:beforeLines="50" w:before="120" w:afterLines="50" w:after="120"/>
        <w:jc w:val="both"/>
        <w:rPr>
          <w:rFonts w:cs="Arial"/>
        </w:rPr>
      </w:pPr>
      <w:r>
        <w:rPr>
          <w:rFonts w:cs="Arial" w:hint="eastAsia"/>
        </w:rPr>
        <w:t xml:space="preserve">    </w:t>
      </w:r>
      <w:r>
        <w:rPr>
          <w:rFonts w:cs="Arial" w:hint="eastAsia"/>
        </w:rPr>
        <w:t>本會</w:t>
      </w:r>
      <w:r w:rsidR="0018322A">
        <w:rPr>
          <w:rFonts w:cs="Arial" w:hint="eastAsia"/>
        </w:rPr>
        <w:t>提</w:t>
      </w:r>
      <w:r w:rsidR="00670B67">
        <w:drawing>
          <wp:anchor distT="0" distB="0" distL="114300" distR="114300" simplePos="0" relativeHeight="251658240" behindDoc="1" locked="0" layoutInCell="1" allowOverlap="1" wp14:anchorId="3D135D41" wp14:editId="3FD45BE7">
            <wp:simplePos x="0" y="0"/>
            <wp:positionH relativeFrom="column">
              <wp:posOffset>4547235</wp:posOffset>
            </wp:positionH>
            <wp:positionV relativeFrom="paragraph">
              <wp:posOffset>172085</wp:posOffset>
            </wp:positionV>
            <wp:extent cx="608965" cy="608965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22A">
        <w:rPr>
          <w:rFonts w:cs="Arial" w:hint="eastAsia"/>
        </w:rPr>
        <w:t>供</w:t>
      </w:r>
      <w:r w:rsidR="00BC6DA5">
        <w:rPr>
          <w:rFonts w:cs="Arial" w:hint="eastAsia"/>
        </w:rPr>
        <w:t>已完成線上報名律師</w:t>
      </w:r>
      <w:r w:rsidR="00BC6DA5">
        <w:rPr>
          <w:rFonts w:cs="Arial"/>
        </w:rPr>
        <w:t>google meet</w:t>
      </w:r>
      <w:r w:rsidR="00BC6DA5">
        <w:rPr>
          <w:rFonts w:cs="Arial" w:hint="eastAsia"/>
        </w:rPr>
        <w:t>視訊連結。</w:t>
      </w:r>
    </w:p>
    <w:p w14:paraId="1D616286" w14:textId="682A47A5" w:rsidR="00450943" w:rsidRDefault="00210015" w:rsidP="004327C0">
      <w:pPr>
        <w:pStyle w:val="2"/>
        <w:spacing w:beforeLines="50" w:before="120" w:afterLines="50" w:after="120"/>
        <w:jc w:val="both"/>
      </w:pPr>
      <w:r>
        <w:rPr>
          <w:rFonts w:cs="Arial" w:hint="eastAsia"/>
        </w:rPr>
        <w:t xml:space="preserve">    </w:t>
      </w:r>
      <w:r w:rsidR="00450943">
        <w:rPr>
          <w:rFonts w:cs="Arial" w:hint="eastAsia"/>
        </w:rPr>
        <w:t>報名連結：</w:t>
      </w:r>
      <w:hyperlink r:id="rId8" w:history="1">
        <w:r w:rsidR="00670B67" w:rsidRPr="005F05F9">
          <w:rPr>
            <w:rStyle w:val="a7"/>
          </w:rPr>
          <w:t>https://forms.gle/axfYgPSBUk3574zU8</w:t>
        </w:r>
      </w:hyperlink>
    </w:p>
    <w:p w14:paraId="59F72CF4" w14:textId="77777777" w:rsidR="00670B67" w:rsidRDefault="00670B67" w:rsidP="004327C0">
      <w:pPr>
        <w:pStyle w:val="2"/>
        <w:spacing w:beforeLines="50" w:before="120" w:afterLines="50" w:after="120"/>
        <w:jc w:val="both"/>
        <w:rPr>
          <w:rFonts w:cs="Arial"/>
        </w:rPr>
      </w:pPr>
    </w:p>
    <w:bookmarkEnd w:id="1"/>
    <w:p w14:paraId="748FB55E" w14:textId="2AAD07A5" w:rsidR="00927C89" w:rsidRDefault="00D52454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lastRenderedPageBreak/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1AD52964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3C8F9C07" w14:textId="70559CA2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6C617E73" w14:textId="0FF7BD5F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2E28953E" w14:textId="77777777" w:rsidR="00210425" w:rsidRDefault="00210425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06FEF5" w14:textId="78F58E28" w:rsidR="00AE7D16" w:rsidRPr="00AE7D16" w:rsidRDefault="00AE7D16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="0094256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p w14:paraId="7BB8637F" w14:textId="77777777" w:rsidR="00D246BC" w:rsidRPr="00AE7D16" w:rsidRDefault="00D246BC">
      <w:pPr>
        <w:rPr>
          <w:rFonts w:ascii="標楷體" w:eastAsia="標楷體" w:hAnsi="標楷體"/>
          <w:sz w:val="28"/>
          <w:szCs w:val="28"/>
        </w:rPr>
      </w:pPr>
    </w:p>
    <w:sectPr w:rsidR="00D246BC" w:rsidRPr="00AE7D16" w:rsidSect="00BD68D1">
      <w:footerReference w:type="default" r:id="rId10"/>
      <w:pgSz w:w="12240" w:h="15840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225DD090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2A8C" w:rsidRPr="00232A8C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31C"/>
    <w:rsid w:val="0000259B"/>
    <w:rsid w:val="00030477"/>
    <w:rsid w:val="00031530"/>
    <w:rsid w:val="000448D9"/>
    <w:rsid w:val="00056FDF"/>
    <w:rsid w:val="00081564"/>
    <w:rsid w:val="000E4A5A"/>
    <w:rsid w:val="000E74BB"/>
    <w:rsid w:val="00117A44"/>
    <w:rsid w:val="00140467"/>
    <w:rsid w:val="00145592"/>
    <w:rsid w:val="001461F5"/>
    <w:rsid w:val="0018322A"/>
    <w:rsid w:val="001D030F"/>
    <w:rsid w:val="001F2A5D"/>
    <w:rsid w:val="00210015"/>
    <w:rsid w:val="00210425"/>
    <w:rsid w:val="00232A8C"/>
    <w:rsid w:val="00254C96"/>
    <w:rsid w:val="002A3586"/>
    <w:rsid w:val="002E67F9"/>
    <w:rsid w:val="00324A74"/>
    <w:rsid w:val="00334B79"/>
    <w:rsid w:val="00336FCF"/>
    <w:rsid w:val="003660DC"/>
    <w:rsid w:val="003A6EB1"/>
    <w:rsid w:val="003B0E8E"/>
    <w:rsid w:val="003C5503"/>
    <w:rsid w:val="004044A3"/>
    <w:rsid w:val="00420D81"/>
    <w:rsid w:val="004317B7"/>
    <w:rsid w:val="004327C0"/>
    <w:rsid w:val="004460B7"/>
    <w:rsid w:val="00450943"/>
    <w:rsid w:val="00457E92"/>
    <w:rsid w:val="00472414"/>
    <w:rsid w:val="004953C1"/>
    <w:rsid w:val="004B1433"/>
    <w:rsid w:val="00515604"/>
    <w:rsid w:val="00530EDA"/>
    <w:rsid w:val="005756D9"/>
    <w:rsid w:val="005878F0"/>
    <w:rsid w:val="005A0E64"/>
    <w:rsid w:val="005D028E"/>
    <w:rsid w:val="005F14B6"/>
    <w:rsid w:val="005F56A0"/>
    <w:rsid w:val="006461CD"/>
    <w:rsid w:val="00670B67"/>
    <w:rsid w:val="0067407F"/>
    <w:rsid w:val="00683D91"/>
    <w:rsid w:val="006A7646"/>
    <w:rsid w:val="00716A63"/>
    <w:rsid w:val="007333FD"/>
    <w:rsid w:val="0075444A"/>
    <w:rsid w:val="007B7E7F"/>
    <w:rsid w:val="007F5F9E"/>
    <w:rsid w:val="00806C7D"/>
    <w:rsid w:val="00807928"/>
    <w:rsid w:val="00807BDC"/>
    <w:rsid w:val="008430C0"/>
    <w:rsid w:val="00872516"/>
    <w:rsid w:val="00885DAB"/>
    <w:rsid w:val="00927C89"/>
    <w:rsid w:val="00942562"/>
    <w:rsid w:val="009606D5"/>
    <w:rsid w:val="009C3367"/>
    <w:rsid w:val="009D4D16"/>
    <w:rsid w:val="00A036BE"/>
    <w:rsid w:val="00A5488E"/>
    <w:rsid w:val="00A87D70"/>
    <w:rsid w:val="00AD0B5B"/>
    <w:rsid w:val="00AE7D16"/>
    <w:rsid w:val="00B11D11"/>
    <w:rsid w:val="00B60778"/>
    <w:rsid w:val="00B715B3"/>
    <w:rsid w:val="00B91E91"/>
    <w:rsid w:val="00BA1DB3"/>
    <w:rsid w:val="00BB2AE0"/>
    <w:rsid w:val="00BC6DA5"/>
    <w:rsid w:val="00BD68D1"/>
    <w:rsid w:val="00C15CAF"/>
    <w:rsid w:val="00C260EB"/>
    <w:rsid w:val="00C75417"/>
    <w:rsid w:val="00CA0D84"/>
    <w:rsid w:val="00CB7191"/>
    <w:rsid w:val="00CD16C4"/>
    <w:rsid w:val="00CF052B"/>
    <w:rsid w:val="00D07FF5"/>
    <w:rsid w:val="00D226A4"/>
    <w:rsid w:val="00D246BC"/>
    <w:rsid w:val="00D52454"/>
    <w:rsid w:val="00D85588"/>
    <w:rsid w:val="00DA6D99"/>
    <w:rsid w:val="00DB4380"/>
    <w:rsid w:val="00E10290"/>
    <w:rsid w:val="00E254F5"/>
    <w:rsid w:val="00E327FE"/>
    <w:rsid w:val="00E41711"/>
    <w:rsid w:val="00E4324D"/>
    <w:rsid w:val="00E70DD1"/>
    <w:rsid w:val="00E80317"/>
    <w:rsid w:val="00EE71EB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C15CAF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D5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xfYgPSBUk3574zU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2023-07-11T05:18:00Z</cp:lastPrinted>
  <dcterms:created xsi:type="dcterms:W3CDTF">2023-12-05T10:03:00Z</dcterms:created>
  <dcterms:modified xsi:type="dcterms:W3CDTF">2023-12-05T10:40:00Z</dcterms:modified>
</cp:coreProperties>
</file>