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343" w:rsidRPr="007C5DBC" w:rsidRDefault="00D20343" w:rsidP="00D20343">
      <w:pPr>
        <w:pStyle w:val="a4"/>
        <w:rPr>
          <w:rFonts w:ascii="標楷體" w:eastAsia="標楷體" w:hAnsi="標楷體"/>
          <w:b/>
          <w:i w:val="0"/>
          <w:sz w:val="40"/>
          <w:szCs w:val="40"/>
        </w:rPr>
      </w:pPr>
      <w:r w:rsidRPr="007C5DBC">
        <w:rPr>
          <w:rFonts w:ascii="標楷體" w:eastAsia="標楷體" w:hAnsi="標楷體" w:hint="eastAsia"/>
          <w:b/>
          <w:i w:val="0"/>
          <w:sz w:val="40"/>
          <w:szCs w:val="40"/>
        </w:rPr>
        <w:t>社團法人台南律師公會　函</w:t>
      </w:r>
    </w:p>
    <w:p w:rsidR="00D20343" w:rsidRPr="0032069B" w:rsidRDefault="00D20343" w:rsidP="00D20343">
      <w:pPr>
        <w:jc w:val="right"/>
        <w:rPr>
          <w:rFonts w:ascii="標楷體" w:eastAsia="標楷體" w:hAnsi="標楷體"/>
        </w:rPr>
      </w:pPr>
    </w:p>
    <w:p w:rsidR="00D20343" w:rsidRDefault="00D20343" w:rsidP="00D20343">
      <w:pPr>
        <w:tabs>
          <w:tab w:val="left" w:pos="4560"/>
        </w:tabs>
        <w:spacing w:line="300" w:lineRule="exact"/>
        <w:ind w:leftChars="1900" w:left="4560" w:rightChars="-59" w:right="-142"/>
        <w:rPr>
          <w:rFonts w:ascii="標楷體" w:eastAsia="標楷體" w:hAnsi="標楷體"/>
          <w:spacing w:val="-20"/>
        </w:rPr>
      </w:pPr>
      <w:r w:rsidRPr="0032069B">
        <w:rPr>
          <w:rFonts w:ascii="標楷體" w:eastAsia="標楷體" w:hAnsi="標楷體" w:hint="eastAsia"/>
        </w:rPr>
        <w:t>地址：</w:t>
      </w:r>
      <w:r w:rsidRPr="00BB45AA">
        <w:rPr>
          <w:rFonts w:ascii="標楷體" w:eastAsia="標楷體" w:hAnsi="標楷體" w:hint="eastAsia"/>
          <w:spacing w:val="-10"/>
        </w:rPr>
        <w:t>708003台南市安平區永華十一街49巷8-1號</w:t>
      </w:r>
    </w:p>
    <w:p w:rsidR="00D20343" w:rsidRDefault="00D20343" w:rsidP="00D20343">
      <w:pPr>
        <w:tabs>
          <w:tab w:val="left" w:pos="4962"/>
        </w:tabs>
        <w:spacing w:line="300" w:lineRule="exact"/>
        <w:ind w:leftChars="1900" w:left="4560"/>
        <w:rPr>
          <w:rFonts w:ascii="標楷體" w:eastAsia="標楷體" w:hAnsi="標楷體"/>
        </w:rPr>
      </w:pPr>
      <w:r w:rsidRPr="0032069B">
        <w:rPr>
          <w:rFonts w:ascii="標楷體" w:eastAsia="標楷體" w:hAnsi="標楷體" w:hint="eastAsia"/>
        </w:rPr>
        <w:t>電話：(06)2987373</w:t>
      </w:r>
    </w:p>
    <w:p w:rsidR="00D20343" w:rsidRDefault="00D20343" w:rsidP="00D20343">
      <w:pPr>
        <w:tabs>
          <w:tab w:val="left" w:pos="4962"/>
        </w:tabs>
        <w:spacing w:line="300" w:lineRule="exact"/>
        <w:ind w:leftChars="1900" w:left="4560"/>
        <w:rPr>
          <w:rFonts w:ascii="標楷體" w:eastAsia="標楷體" w:hAnsi="標楷體"/>
        </w:rPr>
      </w:pPr>
      <w:r w:rsidRPr="0032069B">
        <w:rPr>
          <w:rFonts w:ascii="標楷體" w:eastAsia="標楷體" w:hAnsi="標楷體" w:hint="eastAsia"/>
          <w:bCs/>
        </w:rPr>
        <w:t>傳真：(</w:t>
      </w:r>
      <w:r w:rsidRPr="0032069B">
        <w:rPr>
          <w:rFonts w:ascii="標楷體" w:eastAsia="標楷體" w:hAnsi="標楷體" w:hint="eastAsia"/>
        </w:rPr>
        <w:t>06)2988383</w:t>
      </w:r>
    </w:p>
    <w:p w:rsidR="00D20343" w:rsidRPr="00D81DC8" w:rsidRDefault="00D20343" w:rsidP="00D20343">
      <w:pPr>
        <w:tabs>
          <w:tab w:val="left" w:pos="4962"/>
        </w:tabs>
        <w:spacing w:line="300" w:lineRule="exact"/>
        <w:ind w:leftChars="1900" w:left="4560"/>
        <w:rPr>
          <w:rFonts w:ascii="標楷體" w:eastAsia="標楷體" w:hAnsi="標楷體"/>
        </w:rPr>
      </w:pPr>
      <w:r w:rsidRPr="0032069B">
        <w:rPr>
          <w:rFonts w:ascii="標楷體" w:eastAsia="標楷體" w:hAnsi="標楷體" w:hint="eastAsia"/>
          <w:bCs/>
        </w:rPr>
        <w:t>承辦人：</w:t>
      </w:r>
      <w:r>
        <w:rPr>
          <w:rFonts w:ascii="標楷體" w:eastAsia="標楷體" w:hAnsi="標楷體" w:hint="eastAsia"/>
          <w:bCs/>
        </w:rPr>
        <w:t>黃涵昕</w:t>
      </w:r>
    </w:p>
    <w:p w:rsidR="00D20343" w:rsidRPr="0032069B" w:rsidRDefault="00D20343" w:rsidP="00D20343">
      <w:pPr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2069B">
        <w:rPr>
          <w:rFonts w:ascii="標楷體" w:eastAsia="標楷體" w:hAnsi="標楷體" w:hint="eastAsia"/>
          <w:sz w:val="28"/>
          <w:szCs w:val="28"/>
        </w:rPr>
        <w:t>受文者：</w:t>
      </w:r>
      <w:r w:rsidRPr="0032069B">
        <w:rPr>
          <w:rFonts w:ascii="標楷體" w:eastAsia="標楷體" w:hAnsi="標楷體" w:hint="eastAsia"/>
          <w:bCs/>
          <w:sz w:val="28"/>
          <w:szCs w:val="28"/>
        </w:rPr>
        <w:t>本</w:t>
      </w:r>
      <w:proofErr w:type="gramStart"/>
      <w:r w:rsidRPr="0032069B">
        <w:rPr>
          <w:rFonts w:ascii="標楷體" w:eastAsia="標楷體" w:hAnsi="標楷體" w:hint="eastAsia"/>
          <w:bCs/>
          <w:sz w:val="28"/>
          <w:szCs w:val="28"/>
        </w:rPr>
        <w:t>會</w:t>
      </w:r>
      <w:proofErr w:type="gramEnd"/>
      <w:r w:rsidRPr="0032069B">
        <w:rPr>
          <w:rFonts w:ascii="標楷體" w:eastAsia="標楷體" w:hAnsi="標楷體" w:hint="eastAsia"/>
          <w:bCs/>
          <w:sz w:val="28"/>
          <w:szCs w:val="28"/>
        </w:rPr>
        <w:t>會員</w:t>
      </w:r>
    </w:p>
    <w:p w:rsidR="00D20343" w:rsidRPr="0032069B" w:rsidRDefault="00D20343" w:rsidP="00D20343">
      <w:pPr>
        <w:spacing w:line="400" w:lineRule="exact"/>
        <w:jc w:val="both"/>
        <w:rPr>
          <w:rFonts w:ascii="標楷體" w:eastAsia="標楷體" w:hAnsi="標楷體"/>
          <w:sz w:val="28"/>
        </w:rPr>
      </w:pPr>
    </w:p>
    <w:p w:rsidR="00D20343" w:rsidRPr="0032069B" w:rsidRDefault="00D20343" w:rsidP="00D20343">
      <w:pPr>
        <w:spacing w:line="300" w:lineRule="exact"/>
        <w:jc w:val="both"/>
        <w:rPr>
          <w:rFonts w:ascii="標楷體" w:eastAsia="標楷體" w:hAnsi="標楷體"/>
        </w:rPr>
      </w:pPr>
      <w:r w:rsidRPr="0032069B">
        <w:rPr>
          <w:rFonts w:ascii="標楷體" w:eastAsia="標楷體" w:hAnsi="標楷體" w:hint="eastAsia"/>
        </w:rPr>
        <w:t>發文日期：中華民國1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3</w:t>
      </w:r>
      <w:r w:rsidRPr="0032069B">
        <w:rPr>
          <w:rFonts w:ascii="標楷體" w:eastAsia="標楷體" w:hAnsi="標楷體" w:hint="eastAsia"/>
        </w:rPr>
        <w:t>年</w:t>
      </w:r>
      <w:r w:rsidR="00632549">
        <w:rPr>
          <w:rFonts w:ascii="標楷體" w:eastAsia="標楷體" w:hAnsi="標楷體"/>
        </w:rPr>
        <w:t>4</w:t>
      </w:r>
      <w:r w:rsidRPr="0032069B">
        <w:rPr>
          <w:rFonts w:ascii="標楷體" w:eastAsia="標楷體" w:hAnsi="標楷體" w:hint="eastAsia"/>
        </w:rPr>
        <w:t>月</w:t>
      </w:r>
      <w:r w:rsidR="00632549">
        <w:rPr>
          <w:rFonts w:ascii="標楷體" w:eastAsia="標楷體" w:hAnsi="標楷體"/>
        </w:rPr>
        <w:t>10</w:t>
      </w:r>
      <w:r w:rsidRPr="0032069B">
        <w:rPr>
          <w:rFonts w:ascii="標楷體" w:eastAsia="標楷體" w:hAnsi="標楷體" w:hint="eastAsia"/>
        </w:rPr>
        <w:t>日</w:t>
      </w:r>
    </w:p>
    <w:p w:rsidR="00D20343" w:rsidRPr="0032069B" w:rsidRDefault="00D20343" w:rsidP="00D20343">
      <w:pPr>
        <w:spacing w:line="300" w:lineRule="exact"/>
        <w:jc w:val="both"/>
        <w:rPr>
          <w:rFonts w:ascii="標楷體" w:eastAsia="標楷體" w:hAnsi="標楷體"/>
        </w:rPr>
      </w:pPr>
      <w:r w:rsidRPr="0032069B">
        <w:rPr>
          <w:rFonts w:ascii="標楷體" w:eastAsia="標楷體" w:hAnsi="標楷體" w:hint="eastAsia"/>
        </w:rPr>
        <w:t>發文字號：南律</w:t>
      </w:r>
      <w:r>
        <w:rPr>
          <w:rFonts w:ascii="標楷體" w:eastAsia="標楷體" w:hAnsi="標楷體" w:hint="eastAsia"/>
        </w:rPr>
        <w:t>苓</w:t>
      </w:r>
      <w:r w:rsidRPr="0032069B">
        <w:rPr>
          <w:rFonts w:ascii="標楷體" w:eastAsia="標楷體" w:hAnsi="標楷體" w:hint="eastAsia"/>
        </w:rPr>
        <w:t>字第1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00</w:t>
      </w:r>
      <w:r w:rsidR="00632549">
        <w:rPr>
          <w:rFonts w:ascii="標楷體" w:eastAsia="標楷體" w:hAnsi="標楷體"/>
        </w:rPr>
        <w:t>102</w:t>
      </w:r>
      <w:r w:rsidRPr="0032069B">
        <w:rPr>
          <w:rFonts w:ascii="標楷體" w:eastAsia="標楷體" w:hAnsi="標楷體" w:hint="eastAsia"/>
        </w:rPr>
        <w:t>號</w:t>
      </w:r>
    </w:p>
    <w:p w:rsidR="00D20343" w:rsidRPr="0032069B" w:rsidRDefault="00D20343" w:rsidP="00D20343">
      <w:pPr>
        <w:spacing w:line="300" w:lineRule="exact"/>
        <w:jc w:val="both"/>
        <w:rPr>
          <w:rFonts w:ascii="標楷體" w:eastAsia="標楷體" w:hAnsi="標楷體"/>
        </w:rPr>
      </w:pPr>
      <w:proofErr w:type="gramStart"/>
      <w:r w:rsidRPr="0032069B">
        <w:rPr>
          <w:rFonts w:ascii="標楷體" w:eastAsia="標楷體" w:hAnsi="標楷體" w:hint="eastAsia"/>
        </w:rPr>
        <w:t>速別</w:t>
      </w:r>
      <w:proofErr w:type="gramEnd"/>
      <w:r w:rsidRPr="0032069B">
        <w:rPr>
          <w:rFonts w:ascii="標楷體" w:eastAsia="標楷體" w:hAnsi="標楷體" w:hint="eastAsia"/>
        </w:rPr>
        <w:t>：</w:t>
      </w:r>
    </w:p>
    <w:p w:rsidR="00D20343" w:rsidRPr="0032069B" w:rsidRDefault="00D20343" w:rsidP="00D20343">
      <w:pPr>
        <w:spacing w:line="300" w:lineRule="exact"/>
        <w:jc w:val="both"/>
        <w:rPr>
          <w:rFonts w:ascii="標楷體" w:eastAsia="標楷體" w:hAnsi="標楷體"/>
        </w:rPr>
      </w:pPr>
      <w:r w:rsidRPr="0032069B">
        <w:rPr>
          <w:rFonts w:ascii="標楷體" w:eastAsia="標楷體" w:hAnsi="標楷體" w:hint="eastAsia"/>
        </w:rPr>
        <w:t xml:space="preserve">密等及解密條件： </w:t>
      </w:r>
    </w:p>
    <w:p w:rsidR="00D20343" w:rsidRPr="0032069B" w:rsidRDefault="00D20343" w:rsidP="00D20343">
      <w:pPr>
        <w:spacing w:line="300" w:lineRule="exact"/>
        <w:jc w:val="both"/>
        <w:rPr>
          <w:rFonts w:ascii="標楷體" w:eastAsia="標楷體" w:hAnsi="標楷體"/>
          <w:bCs/>
        </w:rPr>
      </w:pPr>
      <w:r w:rsidRPr="0032069B">
        <w:rPr>
          <w:rFonts w:ascii="標楷體" w:eastAsia="標楷體" w:hAnsi="標楷體" w:hint="eastAsia"/>
        </w:rPr>
        <w:t>附件：如文</w:t>
      </w:r>
    </w:p>
    <w:p w:rsidR="00D20343" w:rsidRPr="0032069B" w:rsidRDefault="00D20343" w:rsidP="00D20343">
      <w:pPr>
        <w:spacing w:line="360" w:lineRule="exact"/>
        <w:jc w:val="both"/>
        <w:rPr>
          <w:rFonts w:ascii="標楷體" w:eastAsia="標楷體" w:hAnsi="標楷體"/>
          <w:sz w:val="28"/>
        </w:rPr>
      </w:pPr>
    </w:p>
    <w:p w:rsidR="00D20343" w:rsidRPr="004A0263" w:rsidRDefault="00D20343" w:rsidP="00D20343">
      <w:pPr>
        <w:spacing w:line="3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32069B">
        <w:rPr>
          <w:rFonts w:ascii="標楷體" w:eastAsia="標楷體" w:hAnsi="標楷體" w:hint="eastAsia"/>
          <w:sz w:val="28"/>
        </w:rPr>
        <w:t>主旨：</w:t>
      </w:r>
      <w:r w:rsidRPr="00D20343">
        <w:rPr>
          <w:rFonts w:ascii="標楷體" w:eastAsia="標楷體" w:hAnsi="標楷體" w:hint="eastAsia"/>
          <w:sz w:val="28"/>
        </w:rPr>
        <w:t>財團法人民間司法改革基金會</w:t>
      </w:r>
      <w:r>
        <w:rPr>
          <w:rFonts w:ascii="標楷體" w:eastAsia="標楷體" w:hAnsi="標楷體" w:hint="eastAsia"/>
          <w:sz w:val="28"/>
        </w:rPr>
        <w:t>與本會</w:t>
      </w:r>
      <w:r>
        <w:rPr>
          <w:rFonts w:ascii="標楷體" w:eastAsia="標楷體" w:hAnsi="標楷體" w:hint="eastAsia"/>
          <w:sz w:val="28"/>
          <w:szCs w:val="28"/>
        </w:rPr>
        <w:t>訂</w:t>
      </w:r>
      <w:r w:rsidRPr="0032069B">
        <w:rPr>
          <w:rFonts w:ascii="標楷體" w:eastAsia="標楷體" w:hAnsi="標楷體" w:hint="eastAsia"/>
          <w:sz w:val="28"/>
          <w:szCs w:val="28"/>
        </w:rPr>
        <w:t>於1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年5</w:t>
      </w:r>
      <w:r>
        <w:rPr>
          <w:rFonts w:ascii="標楷體" w:eastAsia="標楷體" w:hAnsi="標楷體"/>
          <w:sz w:val="28"/>
          <w:szCs w:val="28"/>
        </w:rPr>
        <w:t>月4</w:t>
      </w:r>
      <w:r>
        <w:rPr>
          <w:rFonts w:ascii="標楷體" w:eastAsia="標楷體" w:hAnsi="標楷體" w:hint="eastAsia"/>
          <w:sz w:val="28"/>
          <w:szCs w:val="28"/>
        </w:rPr>
        <w:t>日（星期六）下</w:t>
      </w:r>
      <w:r w:rsidRPr="0032069B">
        <w:rPr>
          <w:rFonts w:ascii="標楷體" w:eastAsia="標楷體" w:hAnsi="標楷體" w:hint="eastAsia"/>
          <w:sz w:val="28"/>
          <w:szCs w:val="28"/>
        </w:rPr>
        <w:t>午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32069B">
        <w:rPr>
          <w:rFonts w:ascii="標楷體" w:eastAsia="標楷體" w:hAnsi="標楷體" w:hint="eastAsia"/>
          <w:bCs/>
          <w:sz w:val="28"/>
          <w:szCs w:val="28"/>
        </w:rPr>
        <w:t>時至</w:t>
      </w:r>
      <w:r>
        <w:rPr>
          <w:rFonts w:ascii="標楷體" w:eastAsia="標楷體" w:hAnsi="標楷體" w:hint="eastAsia"/>
          <w:bCs/>
          <w:sz w:val="28"/>
          <w:szCs w:val="28"/>
        </w:rPr>
        <w:t>下午4</w:t>
      </w:r>
      <w:r w:rsidRPr="0032069B">
        <w:rPr>
          <w:rFonts w:ascii="標楷體" w:eastAsia="標楷體" w:hAnsi="標楷體" w:hint="eastAsia"/>
          <w:bCs/>
          <w:sz w:val="28"/>
          <w:szCs w:val="28"/>
        </w:rPr>
        <w:t>時</w:t>
      </w:r>
      <w:r w:rsidRPr="0032069B">
        <w:rPr>
          <w:rFonts w:ascii="標楷體" w:eastAsia="標楷體" w:hAnsi="標楷體" w:hint="eastAsia"/>
          <w:sz w:val="28"/>
          <w:szCs w:val="28"/>
        </w:rPr>
        <w:t>，</w:t>
      </w:r>
      <w:r w:rsidRPr="0032069B">
        <w:rPr>
          <w:rFonts w:ascii="標楷體" w:eastAsia="標楷體" w:hAnsi="標楷體" w:hint="eastAsia"/>
          <w:bCs/>
          <w:color w:val="000000"/>
          <w:sz w:val="28"/>
          <w:szCs w:val="28"/>
        </w:rPr>
        <w:t>舉辦</w:t>
      </w:r>
      <w:r w:rsidRPr="009377BD">
        <w:rPr>
          <w:rFonts w:ascii="標楷體" w:eastAsia="標楷體" w:hAnsi="標楷體" w:hint="eastAsia"/>
          <w:bCs/>
          <w:color w:val="000000"/>
          <w:sz w:val="28"/>
          <w:szCs w:val="28"/>
        </w:rPr>
        <w:t>「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後人頭帳戶時代實務因應座談會</w:t>
      </w:r>
      <w:r w:rsidRPr="009377BD">
        <w:rPr>
          <w:rFonts w:ascii="標楷體" w:eastAsia="標楷體" w:hAnsi="標楷體" w:hint="eastAsia"/>
          <w:bCs/>
          <w:color w:val="000000"/>
          <w:sz w:val="28"/>
          <w:szCs w:val="28"/>
        </w:rPr>
        <w:t>」</w:t>
      </w:r>
      <w:r w:rsidRPr="00D20343">
        <w:rPr>
          <w:rFonts w:ascii="標楷體" w:eastAsia="標楷體" w:hAnsi="標楷體" w:hint="eastAsia"/>
          <w:bCs/>
          <w:color w:val="000000"/>
          <w:sz w:val="28"/>
          <w:szCs w:val="28"/>
        </w:rPr>
        <w:t>台南場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活動</w:t>
      </w:r>
      <w:r w:rsidRPr="0032069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歡迎會員踴躍報名參加</w:t>
      </w:r>
      <w:r w:rsidRPr="0032069B">
        <w:rPr>
          <w:rFonts w:ascii="標楷體" w:eastAsia="標楷體" w:hAnsi="標楷體" w:hint="eastAsia"/>
          <w:sz w:val="28"/>
          <w:szCs w:val="28"/>
        </w:rPr>
        <w:t>。</w:t>
      </w:r>
    </w:p>
    <w:p w:rsidR="00D20343" w:rsidRPr="001E63B5" w:rsidRDefault="00D20343" w:rsidP="00D20343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</w:p>
    <w:p w:rsidR="00D20343" w:rsidRPr="008A6588" w:rsidRDefault="00D20343" w:rsidP="00D20343">
      <w:pPr>
        <w:spacing w:line="360" w:lineRule="exact"/>
        <w:jc w:val="both"/>
        <w:rPr>
          <w:rFonts w:ascii="標楷體" w:eastAsia="標楷體" w:hAnsi="標楷體"/>
          <w:sz w:val="28"/>
        </w:rPr>
      </w:pPr>
      <w:r w:rsidRPr="008A6588">
        <w:rPr>
          <w:rFonts w:ascii="標楷體" w:eastAsia="標楷體" w:hAnsi="標楷體" w:hint="eastAsia"/>
          <w:sz w:val="28"/>
        </w:rPr>
        <w:t>說明：</w:t>
      </w:r>
    </w:p>
    <w:p w:rsidR="00D20343" w:rsidRDefault="00D20343" w:rsidP="00D20343">
      <w:pPr>
        <w:spacing w:line="360" w:lineRule="exact"/>
        <w:ind w:leftChars="100" w:left="800" w:hangingChars="200" w:hanging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一</w:t>
      </w:r>
      <w:r w:rsidRPr="00115833">
        <w:rPr>
          <w:rFonts w:ascii="標楷體" w:eastAsia="標楷體" w:hAnsi="標楷體"/>
          <w:sz w:val="28"/>
        </w:rPr>
        <w:t>、</w:t>
      </w:r>
      <w:r w:rsidR="004C2F16">
        <w:rPr>
          <w:rFonts w:ascii="標楷體" w:eastAsia="標楷體" w:hAnsi="標楷體"/>
          <w:sz w:val="28"/>
        </w:rPr>
        <w:t>活動</w:t>
      </w:r>
      <w:r>
        <w:rPr>
          <w:rFonts w:ascii="標楷體" w:eastAsia="標楷體" w:hAnsi="標楷體"/>
          <w:sz w:val="28"/>
        </w:rPr>
        <w:t>邀請</w:t>
      </w:r>
      <w:r w:rsidRPr="00D20343">
        <w:rPr>
          <w:rFonts w:ascii="標楷體" w:eastAsia="標楷體" w:hAnsi="標楷體" w:hint="eastAsia"/>
          <w:sz w:val="28"/>
        </w:rPr>
        <w:t>民間司法改革基金會</w:t>
      </w:r>
      <w:proofErr w:type="gramStart"/>
      <w:r w:rsidRPr="00D20343">
        <w:rPr>
          <w:rFonts w:ascii="標楷體" w:eastAsia="標楷體" w:hAnsi="標楷體" w:hint="eastAsia"/>
          <w:sz w:val="28"/>
        </w:rPr>
        <w:t>喬政翔</w:t>
      </w:r>
      <w:proofErr w:type="gramEnd"/>
      <w:r>
        <w:rPr>
          <w:rFonts w:ascii="標楷體" w:eastAsia="標楷體" w:hAnsi="標楷體" w:hint="eastAsia"/>
          <w:sz w:val="28"/>
        </w:rPr>
        <w:t>專職律師</w:t>
      </w:r>
      <w:r w:rsidRPr="00D20343">
        <w:rPr>
          <w:rFonts w:ascii="標楷體" w:eastAsia="標楷體" w:hAnsi="標楷體" w:hint="eastAsia"/>
          <w:sz w:val="28"/>
        </w:rPr>
        <w:t>主講</w:t>
      </w:r>
      <w:r>
        <w:rPr>
          <w:rFonts w:ascii="標楷體" w:eastAsia="標楷體" w:hAnsi="標楷體" w:hint="eastAsia"/>
          <w:sz w:val="28"/>
        </w:rPr>
        <w:t>，以及邀請臺灣</w:t>
      </w:r>
      <w:proofErr w:type="gramStart"/>
      <w:r>
        <w:rPr>
          <w:rFonts w:ascii="標楷體" w:eastAsia="標楷體" w:hAnsi="標楷體" w:hint="eastAsia"/>
          <w:sz w:val="28"/>
        </w:rPr>
        <w:t>臺</w:t>
      </w:r>
      <w:proofErr w:type="gramEnd"/>
      <w:r>
        <w:rPr>
          <w:rFonts w:ascii="標楷體" w:eastAsia="標楷體" w:hAnsi="標楷體" w:hint="eastAsia"/>
          <w:sz w:val="28"/>
        </w:rPr>
        <w:t>南地方法院</w:t>
      </w:r>
      <w:r w:rsidRPr="00D20343">
        <w:rPr>
          <w:rFonts w:ascii="標楷體" w:eastAsia="標楷體" w:hAnsi="標楷體" w:hint="eastAsia"/>
          <w:sz w:val="28"/>
        </w:rPr>
        <w:t>張郁昇</w:t>
      </w:r>
      <w:r>
        <w:rPr>
          <w:rFonts w:ascii="標楷體" w:eastAsia="標楷體" w:hAnsi="標楷體" w:hint="eastAsia"/>
          <w:sz w:val="28"/>
        </w:rPr>
        <w:t>法官和</w:t>
      </w:r>
      <w:r w:rsidRPr="00D20343">
        <w:rPr>
          <w:rFonts w:ascii="標楷體" w:eastAsia="標楷體" w:hAnsi="標楷體" w:hint="eastAsia"/>
          <w:sz w:val="28"/>
        </w:rPr>
        <w:t>民間司法改革基金會常務執行委員郭皓仁律師</w:t>
      </w:r>
      <w:r>
        <w:rPr>
          <w:rFonts w:ascii="標楷體" w:eastAsia="標楷體" w:hAnsi="標楷體" w:hint="eastAsia"/>
          <w:sz w:val="28"/>
        </w:rPr>
        <w:t>二位與談。</w:t>
      </w:r>
    </w:p>
    <w:p w:rsidR="00D20343" w:rsidRDefault="00D20343" w:rsidP="00D20343">
      <w:pPr>
        <w:spacing w:line="360" w:lineRule="exact"/>
        <w:ind w:leftChars="100" w:left="800" w:hangingChars="200" w:hanging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</w:t>
      </w:r>
      <w:r w:rsidRPr="00676594">
        <w:rPr>
          <w:rFonts w:ascii="標楷體" w:eastAsia="標楷體" w:hAnsi="標楷體" w:hint="eastAsia"/>
          <w:sz w:val="28"/>
        </w:rPr>
        <w:t>、</w:t>
      </w:r>
      <w:r w:rsidRPr="00BA73CF">
        <w:rPr>
          <w:rFonts w:ascii="標楷體" w:eastAsia="標楷體" w:hAnsi="標楷體" w:hint="eastAsia"/>
          <w:sz w:val="28"/>
        </w:rPr>
        <w:t>本次課程採用實體課程</w:t>
      </w:r>
      <w:r>
        <w:rPr>
          <w:rFonts w:ascii="標楷體" w:eastAsia="標楷體" w:hAnsi="標楷體" w:hint="eastAsia"/>
          <w:sz w:val="28"/>
        </w:rPr>
        <w:t>方式</w:t>
      </w:r>
      <w:r w:rsidRPr="00BA73CF">
        <w:rPr>
          <w:rFonts w:ascii="標楷體" w:eastAsia="標楷體" w:hAnsi="標楷體" w:hint="eastAsia"/>
          <w:sz w:val="28"/>
        </w:rPr>
        <w:t>進行。</w:t>
      </w:r>
      <w:r>
        <w:rPr>
          <w:rFonts w:ascii="標楷體" w:eastAsia="標楷體" w:hAnsi="標楷體" w:hint="eastAsia"/>
          <w:sz w:val="28"/>
        </w:rPr>
        <w:t>報名表單：</w:t>
      </w:r>
      <w:hyperlink r:id="rId4" w:history="1">
        <w:r w:rsidRPr="00A96E01">
          <w:rPr>
            <w:rStyle w:val="a3"/>
            <w:rFonts w:ascii="標楷體" w:eastAsia="標楷體" w:hAnsi="標楷體"/>
            <w:sz w:val="28"/>
          </w:rPr>
          <w:t>https://neti.cc/pOadAM2</w:t>
        </w:r>
      </w:hyperlink>
    </w:p>
    <w:p w:rsidR="00D20343" w:rsidRDefault="00D20343" w:rsidP="00D20343">
      <w:pPr>
        <w:spacing w:line="360" w:lineRule="exact"/>
        <w:ind w:leftChars="100" w:left="800" w:hangingChars="200" w:hanging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三、隨函檢附活動資料乙份。</w:t>
      </w:r>
    </w:p>
    <w:p w:rsidR="00D20343" w:rsidRDefault="00D20343" w:rsidP="00D20343">
      <w:pPr>
        <w:spacing w:line="360" w:lineRule="exact"/>
        <w:rPr>
          <w:rFonts w:ascii="標楷體" w:eastAsia="標楷體" w:hAnsi="標楷體"/>
          <w:sz w:val="28"/>
        </w:rPr>
      </w:pPr>
    </w:p>
    <w:p w:rsidR="00D20343" w:rsidRPr="009213A2" w:rsidRDefault="00D20343" w:rsidP="00D20343">
      <w:pPr>
        <w:spacing w:line="360" w:lineRule="exact"/>
        <w:rPr>
          <w:rFonts w:ascii="標楷體" w:eastAsia="標楷體" w:hAnsi="標楷體"/>
          <w:sz w:val="28"/>
        </w:rPr>
      </w:pPr>
    </w:p>
    <w:p w:rsidR="00D20343" w:rsidRPr="0032069B" w:rsidRDefault="00D20343" w:rsidP="00D20343">
      <w:pPr>
        <w:spacing w:line="300" w:lineRule="exact"/>
        <w:jc w:val="both"/>
        <w:rPr>
          <w:rFonts w:ascii="標楷體" w:eastAsia="標楷體" w:hAnsi="標楷體"/>
        </w:rPr>
      </w:pPr>
      <w:r w:rsidRPr="0032069B">
        <w:rPr>
          <w:rFonts w:ascii="標楷體" w:eastAsia="標楷體" w:hAnsi="標楷體" w:hint="eastAsia"/>
        </w:rPr>
        <w:t>正本：</w:t>
      </w:r>
      <w:r w:rsidRPr="0032069B">
        <w:rPr>
          <w:rFonts w:ascii="標楷體" w:eastAsia="標楷體" w:hAnsi="標楷體" w:hint="eastAsia"/>
          <w:bCs/>
        </w:rPr>
        <w:t>本</w:t>
      </w:r>
      <w:proofErr w:type="gramStart"/>
      <w:r w:rsidRPr="0032069B">
        <w:rPr>
          <w:rFonts w:ascii="標楷體" w:eastAsia="標楷體" w:hAnsi="標楷體" w:hint="eastAsia"/>
          <w:bCs/>
        </w:rPr>
        <w:t>會</w:t>
      </w:r>
      <w:proofErr w:type="gramEnd"/>
      <w:r w:rsidRPr="0032069B">
        <w:rPr>
          <w:rFonts w:ascii="標楷體" w:eastAsia="標楷體" w:hAnsi="標楷體" w:hint="eastAsia"/>
          <w:bCs/>
        </w:rPr>
        <w:t>會員</w:t>
      </w:r>
    </w:p>
    <w:p w:rsidR="00D20343" w:rsidRDefault="00D20343" w:rsidP="00D20343">
      <w:pPr>
        <w:spacing w:line="300" w:lineRule="exact"/>
        <w:ind w:left="720" w:hangingChars="300" w:hanging="720"/>
        <w:rPr>
          <w:rFonts w:ascii="標楷體" w:eastAsia="標楷體" w:hAnsi="標楷體"/>
        </w:rPr>
      </w:pPr>
      <w:r w:rsidRPr="0032069B">
        <w:rPr>
          <w:rFonts w:ascii="標楷體" w:eastAsia="標楷體" w:hAnsi="標楷體" w:hint="eastAsia"/>
        </w:rPr>
        <w:t>副本：全國</w:t>
      </w:r>
      <w:r>
        <w:rPr>
          <w:rFonts w:ascii="標楷體" w:eastAsia="標楷體" w:hAnsi="標楷體" w:hint="eastAsia"/>
        </w:rPr>
        <w:t>律師</w:t>
      </w:r>
      <w:r w:rsidRPr="0032069B">
        <w:rPr>
          <w:rFonts w:ascii="標楷體" w:eastAsia="標楷體" w:hAnsi="標楷體" w:hint="eastAsia"/>
        </w:rPr>
        <w:t>聯合會</w:t>
      </w:r>
      <w:bookmarkStart w:id="0" w:name="_GoBack"/>
      <w:bookmarkEnd w:id="0"/>
    </w:p>
    <w:p w:rsidR="00632549" w:rsidRPr="0032069B" w:rsidRDefault="00632549" w:rsidP="00D20343">
      <w:pPr>
        <w:spacing w:line="300" w:lineRule="exact"/>
        <w:ind w:left="720" w:hangingChars="300" w:hanging="720"/>
        <w:rPr>
          <w:rFonts w:ascii="標楷體" w:eastAsia="標楷體" w:hAnsi="標楷體" w:hint="eastAsia"/>
        </w:rPr>
      </w:pPr>
    </w:p>
    <w:p w:rsidR="00D20343" w:rsidRPr="0032069B" w:rsidRDefault="00D20343" w:rsidP="00D20343">
      <w:pPr>
        <w:spacing w:line="300" w:lineRule="exact"/>
        <w:ind w:left="720" w:hangingChars="300" w:hanging="720"/>
        <w:rPr>
          <w:rFonts w:ascii="標楷體" w:eastAsia="標楷體" w:hAnsi="標楷體"/>
        </w:rPr>
      </w:pPr>
    </w:p>
    <w:p w:rsidR="00D20343" w:rsidRDefault="00D20343">
      <w:pPr>
        <w:widowControl/>
        <w:rPr>
          <w:rFonts w:ascii="微軟正黑體" w:eastAsia="微軟正黑體" w:hAnsi="微軟正黑體" w:cs="Helvetica"/>
          <w:b/>
          <w:kern w:val="0"/>
          <w:sz w:val="32"/>
          <w:szCs w:val="24"/>
        </w:rPr>
      </w:pPr>
      <w:r>
        <w:rPr>
          <w:rFonts w:ascii="微軟正黑體" w:eastAsia="微軟正黑體" w:hAnsi="微軟正黑體" w:cs="Helvetica"/>
          <w:b/>
          <w:kern w:val="0"/>
          <w:sz w:val="32"/>
          <w:szCs w:val="24"/>
        </w:rPr>
        <w:br w:type="page"/>
      </w:r>
    </w:p>
    <w:p w:rsidR="007D5C5C" w:rsidRPr="00D37808" w:rsidRDefault="00D37808" w:rsidP="007D5C5C">
      <w:pPr>
        <w:widowControl/>
        <w:shd w:val="clear" w:color="auto" w:fill="FFFFFF"/>
        <w:spacing w:before="300" w:after="300"/>
        <w:jc w:val="center"/>
        <w:rPr>
          <w:rFonts w:ascii="微軟正黑體" w:eastAsia="微軟正黑體" w:hAnsi="微軟正黑體" w:cs="Helvetica"/>
          <w:b/>
          <w:kern w:val="0"/>
          <w:sz w:val="32"/>
          <w:szCs w:val="24"/>
        </w:rPr>
      </w:pPr>
      <w:r>
        <w:rPr>
          <w:rFonts w:ascii="微軟正黑體" w:eastAsia="微軟正黑體" w:hAnsi="微軟正黑體" w:cs="Helvetica"/>
          <w:b/>
          <w:noProof/>
          <w:kern w:val="0"/>
          <w:sz w:val="32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172085</wp:posOffset>
            </wp:positionH>
            <wp:positionV relativeFrom="margin">
              <wp:posOffset>422184</wp:posOffset>
            </wp:positionV>
            <wp:extent cx="5845810" cy="3287395"/>
            <wp:effectExtent l="0" t="0" r="2540" b="825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官網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5810" cy="328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C5C" w:rsidRPr="00D37808">
        <w:rPr>
          <w:rFonts w:ascii="微軟正黑體" w:eastAsia="微軟正黑體" w:hAnsi="微軟正黑體" w:cs="Helvetica" w:hint="eastAsia"/>
          <w:b/>
          <w:kern w:val="0"/>
          <w:sz w:val="32"/>
          <w:szCs w:val="24"/>
        </w:rPr>
        <w:t>後人頭帳戶時代實務因應座談會</w:t>
      </w:r>
      <w:proofErr w:type="gramStart"/>
      <w:r w:rsidR="007D5C5C" w:rsidRPr="00D37808">
        <w:rPr>
          <w:rFonts w:ascii="微軟正黑體" w:eastAsia="微軟正黑體" w:hAnsi="微軟正黑體" w:cs="Helvetica" w:hint="eastAsia"/>
          <w:b/>
          <w:kern w:val="0"/>
          <w:sz w:val="32"/>
          <w:szCs w:val="24"/>
        </w:rPr>
        <w:t>｜</w:t>
      </w:r>
      <w:proofErr w:type="gramEnd"/>
      <w:r w:rsidR="007D5C5C" w:rsidRPr="00D37808">
        <w:rPr>
          <w:rFonts w:ascii="微軟正黑體" w:eastAsia="微軟正黑體" w:hAnsi="微軟正黑體" w:cs="Helvetica" w:hint="eastAsia"/>
          <w:b/>
          <w:kern w:val="0"/>
          <w:sz w:val="32"/>
          <w:szCs w:val="24"/>
        </w:rPr>
        <w:t>台南場</w:t>
      </w:r>
    </w:p>
    <w:p w:rsidR="00B90444" w:rsidRPr="00B90444" w:rsidRDefault="007D5C5C" w:rsidP="007D5C5C">
      <w:pPr>
        <w:widowControl/>
        <w:shd w:val="clear" w:color="auto" w:fill="FFFFFF"/>
        <w:spacing w:before="120" w:line="300" w:lineRule="exact"/>
        <w:jc w:val="both"/>
        <w:rPr>
          <w:rFonts w:ascii="標楷體" w:eastAsia="標楷體" w:hAnsi="標楷體" w:cs="Helvetica"/>
          <w:color w:val="666666"/>
          <w:kern w:val="0"/>
          <w:szCs w:val="24"/>
        </w:rPr>
      </w:pPr>
      <w:r w:rsidRPr="007D5C5C">
        <w:rPr>
          <w:rFonts w:ascii="標楷體" w:eastAsia="標楷體" w:hAnsi="標楷體" w:cs="Helvetica"/>
          <w:color w:val="666666"/>
          <w:kern w:val="0"/>
          <w:szCs w:val="24"/>
        </w:rPr>
        <w:t>洗錢防制法</w:t>
      </w:r>
      <w:r w:rsidRPr="007D5C5C">
        <w:rPr>
          <w:rFonts w:ascii="標楷體" w:eastAsia="標楷體" w:hAnsi="標楷體" w:cs="Helvetica" w:hint="eastAsia"/>
          <w:color w:val="666666"/>
          <w:kern w:val="0"/>
          <w:szCs w:val="24"/>
        </w:rPr>
        <w:t>(</w:t>
      </w:r>
      <w:r w:rsidRPr="007D5C5C">
        <w:rPr>
          <w:rFonts w:ascii="標楷體" w:eastAsia="標楷體" w:hAnsi="標楷體" w:cs="Helvetica"/>
          <w:color w:val="666666"/>
          <w:kern w:val="0"/>
          <w:szCs w:val="24"/>
        </w:rPr>
        <w:t>以下簡稱《洗防法》</w:t>
      </w:r>
      <w:r w:rsidRPr="007D5C5C">
        <w:rPr>
          <w:rFonts w:ascii="標楷體" w:eastAsia="標楷體" w:hAnsi="標楷體" w:cs="Helvetica" w:hint="eastAsia"/>
          <w:color w:val="666666"/>
          <w:kern w:val="0"/>
          <w:szCs w:val="24"/>
        </w:rPr>
        <w:t>)</w:t>
      </w:r>
      <w:r w:rsidR="00B90444" w:rsidRPr="00B90444">
        <w:rPr>
          <w:rFonts w:ascii="標楷體" w:eastAsia="標楷體" w:hAnsi="標楷體" w:cs="Helvetica"/>
          <w:color w:val="666666"/>
          <w:kern w:val="0"/>
          <w:szCs w:val="24"/>
        </w:rPr>
        <w:t>第15-2條於2023年6月修正施行後，迄今已經將近一年。</w:t>
      </w:r>
    </w:p>
    <w:p w:rsidR="00B90444" w:rsidRPr="00B90444" w:rsidRDefault="00B90444" w:rsidP="007D5C5C">
      <w:pPr>
        <w:widowControl/>
        <w:shd w:val="clear" w:color="auto" w:fill="FFFFFF"/>
        <w:spacing w:before="120" w:line="300" w:lineRule="exact"/>
        <w:jc w:val="both"/>
        <w:rPr>
          <w:rFonts w:ascii="標楷體" w:eastAsia="標楷體" w:hAnsi="標楷體" w:cs="Helvetica"/>
          <w:color w:val="666666"/>
          <w:kern w:val="0"/>
          <w:szCs w:val="24"/>
        </w:rPr>
      </w:pPr>
      <w:r w:rsidRPr="00B90444">
        <w:rPr>
          <w:rFonts w:ascii="標楷體" w:eastAsia="標楷體" w:hAnsi="標楷體" w:cs="Helvetica"/>
          <w:color w:val="666666"/>
          <w:kern w:val="0"/>
          <w:szCs w:val="24"/>
        </w:rPr>
        <w:t>就新法公告前交付人頭帳戶之案件，實務見解有認為新法「先由警察機關裁處告誡」之</w:t>
      </w:r>
      <w:proofErr w:type="gramStart"/>
      <w:r w:rsidRPr="00B90444">
        <w:rPr>
          <w:rFonts w:ascii="標楷體" w:eastAsia="標楷體" w:hAnsi="標楷體" w:cs="Helvetica"/>
          <w:color w:val="666666"/>
          <w:kern w:val="0"/>
          <w:szCs w:val="24"/>
        </w:rPr>
        <w:t>要件屬先行政</w:t>
      </w:r>
      <w:proofErr w:type="gramEnd"/>
      <w:r w:rsidRPr="00B90444">
        <w:rPr>
          <w:rFonts w:ascii="標楷體" w:eastAsia="標楷體" w:hAnsi="標楷體" w:cs="Helvetica"/>
          <w:color w:val="666666"/>
          <w:kern w:val="0"/>
          <w:szCs w:val="24"/>
        </w:rPr>
        <w:t>罰後刑罰之告誡行政罰，屬提起公訴之程式規定，在警察機關未</w:t>
      </w:r>
      <w:proofErr w:type="gramStart"/>
      <w:r w:rsidRPr="00B90444">
        <w:rPr>
          <w:rFonts w:ascii="標楷體" w:eastAsia="標楷體" w:hAnsi="標楷體" w:cs="Helvetica"/>
          <w:color w:val="666666"/>
          <w:kern w:val="0"/>
          <w:szCs w:val="24"/>
        </w:rPr>
        <w:t>踐行</w:t>
      </w:r>
      <w:proofErr w:type="gramEnd"/>
      <w:r w:rsidRPr="00B90444">
        <w:rPr>
          <w:rFonts w:ascii="標楷體" w:eastAsia="標楷體" w:hAnsi="標楷體" w:cs="Helvetica"/>
          <w:color w:val="666666"/>
          <w:kern w:val="0"/>
          <w:szCs w:val="24"/>
        </w:rPr>
        <w:t>裁處告誡之要件前應判決公訴不受理，較為符合《洗防法》第15-2 之增修意旨者；亦有認為《洗防法》第15-2條屬新的犯罪型態，與幫助詐欺取財、幫助洗錢之構成</w:t>
      </w:r>
      <w:proofErr w:type="gramStart"/>
      <w:r w:rsidRPr="00B90444">
        <w:rPr>
          <w:rFonts w:ascii="標楷體" w:eastAsia="標楷體" w:hAnsi="標楷體" w:cs="Helvetica"/>
          <w:color w:val="666666"/>
          <w:kern w:val="0"/>
          <w:szCs w:val="24"/>
        </w:rPr>
        <w:t>要件均不相同</w:t>
      </w:r>
      <w:proofErr w:type="gramEnd"/>
      <w:r w:rsidRPr="00B90444">
        <w:rPr>
          <w:rFonts w:ascii="標楷體" w:eastAsia="標楷體" w:hAnsi="標楷體" w:cs="Helvetica"/>
          <w:color w:val="666666"/>
          <w:kern w:val="0"/>
          <w:szCs w:val="24"/>
        </w:rPr>
        <w:t>，無新舊法比較問題，見解不一。</w:t>
      </w:r>
    </w:p>
    <w:p w:rsidR="00B90444" w:rsidRPr="00B90444" w:rsidRDefault="00B90444" w:rsidP="007D5C5C">
      <w:pPr>
        <w:widowControl/>
        <w:shd w:val="clear" w:color="auto" w:fill="FFFFFF"/>
        <w:spacing w:before="120" w:line="300" w:lineRule="exact"/>
        <w:jc w:val="both"/>
        <w:rPr>
          <w:rFonts w:ascii="標楷體" w:eastAsia="標楷體" w:hAnsi="標楷體" w:cs="Helvetica"/>
          <w:color w:val="666666"/>
          <w:kern w:val="0"/>
          <w:szCs w:val="24"/>
        </w:rPr>
      </w:pPr>
      <w:r w:rsidRPr="00B90444">
        <w:rPr>
          <w:rFonts w:ascii="標楷體" w:eastAsia="標楷體" w:hAnsi="標楷體" w:cs="Helvetica"/>
          <w:color w:val="666666"/>
          <w:kern w:val="0"/>
          <w:szCs w:val="24"/>
        </w:rPr>
        <w:t>司法實務過往慣以推定的方式，認定交付帳戶予他人者有幫助犯詐欺、洗錢之間接故意本非無疑，根據司改會行文詢問法務部、警政署，《洗防法》第15-2條「無故交付帳戶（號）罪」告誡處分件數自2023年6月16日至9月30日止，共計1,008件，約</w:t>
      </w:r>
      <w:proofErr w:type="gramStart"/>
      <w:r w:rsidRPr="00B90444">
        <w:rPr>
          <w:rFonts w:ascii="標楷體" w:eastAsia="標楷體" w:hAnsi="標楷體" w:cs="Helvetica"/>
          <w:color w:val="666666"/>
          <w:kern w:val="0"/>
          <w:szCs w:val="24"/>
        </w:rPr>
        <w:t>佔</w:t>
      </w:r>
      <w:proofErr w:type="gramEnd"/>
      <w:r w:rsidRPr="00B90444">
        <w:rPr>
          <w:rFonts w:ascii="標楷體" w:eastAsia="標楷體" w:hAnsi="標楷體" w:cs="Helvetica"/>
          <w:color w:val="666666"/>
          <w:kern w:val="0"/>
          <w:szCs w:val="24"/>
        </w:rPr>
        <w:t>同時間地檢署辦理電信網路詐欺單純提供人頭帳戶案件，起訴案件的7.70%，新法希望降低司法機關在詐騙案件資源浪費的目的成效顯然可議。</w:t>
      </w:r>
    </w:p>
    <w:p w:rsidR="00B90444" w:rsidRPr="00B90444" w:rsidRDefault="00B90444" w:rsidP="007D5C5C">
      <w:pPr>
        <w:widowControl/>
        <w:shd w:val="clear" w:color="auto" w:fill="FFFFFF"/>
        <w:spacing w:before="120" w:line="300" w:lineRule="exact"/>
        <w:jc w:val="both"/>
        <w:rPr>
          <w:rFonts w:ascii="標楷體" w:eastAsia="標楷體" w:hAnsi="標楷體" w:cs="Helvetica"/>
          <w:color w:val="666666"/>
          <w:kern w:val="0"/>
          <w:szCs w:val="24"/>
        </w:rPr>
      </w:pPr>
      <w:r w:rsidRPr="00B90444">
        <w:rPr>
          <w:rFonts w:ascii="標楷體" w:eastAsia="標楷體" w:hAnsi="標楷體" w:cs="Helvetica"/>
          <w:color w:val="666666"/>
          <w:kern w:val="0"/>
          <w:szCs w:val="24"/>
        </w:rPr>
        <w:t>本次《洗防法》增定第15-2條，就「無辜受騙而提供人頭帳戶之行為人</w:t>
      </w:r>
      <w:proofErr w:type="gramStart"/>
      <w:r w:rsidRPr="00B90444">
        <w:rPr>
          <w:rFonts w:ascii="標楷體" w:eastAsia="標楷體" w:hAnsi="標楷體" w:cs="Helvetica"/>
          <w:color w:val="666666"/>
          <w:kern w:val="0"/>
          <w:szCs w:val="24"/>
        </w:rPr>
        <w:t>若枉受</w:t>
      </w:r>
      <w:proofErr w:type="gramEnd"/>
      <w:r w:rsidRPr="00B90444">
        <w:rPr>
          <w:rFonts w:ascii="標楷體" w:eastAsia="標楷體" w:hAnsi="標楷體" w:cs="Helvetica"/>
          <w:color w:val="666666"/>
          <w:kern w:val="0"/>
          <w:szCs w:val="24"/>
        </w:rPr>
        <w:t>行政裁處應如何異議？」、「受行政裁處之個案司法實務是否仍維持修法前以幫助詐欺、幫助洗錢罪論罪的作法？」等</w:t>
      </w:r>
      <w:r w:rsidR="007D5C5C" w:rsidRPr="007D5C5C">
        <w:rPr>
          <w:rFonts w:ascii="標楷體" w:eastAsia="標楷體" w:hAnsi="標楷體" w:cs="Helvetica"/>
          <w:color w:val="666666"/>
          <w:kern w:val="0"/>
          <w:szCs w:val="24"/>
        </w:rPr>
        <w:t>問題辯護人應如何辯護，民間司改會將邀請財團法人法律扶助基金會及台</w:t>
      </w:r>
      <w:r w:rsidRPr="00B90444">
        <w:rPr>
          <w:rFonts w:ascii="標楷體" w:eastAsia="標楷體" w:hAnsi="標楷體" w:cs="Helvetica"/>
          <w:color w:val="666666"/>
          <w:kern w:val="0"/>
          <w:szCs w:val="24"/>
        </w:rPr>
        <w:t>南律師公會共同合辦，邀請實務界的之專家、學者舉辦座談會共同討論，邀請各位同道一同參加。</w:t>
      </w:r>
    </w:p>
    <w:p w:rsidR="00B90444" w:rsidRPr="00B90444" w:rsidRDefault="00B90444" w:rsidP="00D37808">
      <w:pPr>
        <w:widowControl/>
        <w:shd w:val="clear" w:color="auto" w:fill="FFFFFF"/>
        <w:spacing w:before="300"/>
        <w:outlineLvl w:val="1"/>
        <w:rPr>
          <w:rFonts w:ascii="標楷體" w:eastAsia="標楷體" w:hAnsi="標楷體" w:cs="Arial"/>
          <w:b/>
          <w:bCs/>
          <w:color w:val="343434"/>
          <w:kern w:val="0"/>
          <w:szCs w:val="24"/>
        </w:rPr>
      </w:pPr>
      <w:r w:rsidRPr="00B90444">
        <w:rPr>
          <w:rFonts w:ascii="標楷體" w:eastAsia="標楷體" w:hAnsi="標楷體" w:cs="Arial"/>
          <w:b/>
          <w:bCs/>
          <w:color w:val="343434"/>
          <w:kern w:val="0"/>
          <w:szCs w:val="24"/>
        </w:rPr>
        <w:t>議程</w:t>
      </w:r>
      <w:r w:rsidR="007D5C5C">
        <w:rPr>
          <w:rFonts w:ascii="標楷體" w:eastAsia="標楷體" w:hAnsi="標楷體" w:cs="Arial" w:hint="eastAsia"/>
          <w:b/>
          <w:bCs/>
          <w:color w:val="343434"/>
          <w:kern w:val="0"/>
          <w:szCs w:val="24"/>
        </w:rPr>
        <w:t>：</w:t>
      </w:r>
    </w:p>
    <w:tbl>
      <w:tblPr>
        <w:tblpPr w:leftFromText="171" w:rightFromText="171" w:vertAnchor="text"/>
        <w:tblW w:w="5000" w:type="pct"/>
        <w:tblBorders>
          <w:top w:val="single" w:sz="8" w:space="0" w:color="F3DFDE"/>
          <w:left w:val="single" w:sz="8" w:space="0" w:color="F3DFDE"/>
          <w:bottom w:val="single" w:sz="8" w:space="0" w:color="F3DFDE"/>
          <w:right w:val="single" w:sz="8" w:space="0" w:color="F3DFD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7643"/>
      </w:tblGrid>
      <w:tr w:rsidR="00B90444" w:rsidRPr="00B90444" w:rsidTr="007D5C5C">
        <w:tc>
          <w:tcPr>
            <w:tcW w:w="1975" w:type="dxa"/>
            <w:tcBorders>
              <w:top w:val="single" w:sz="8" w:space="0" w:color="F3DFDE"/>
              <w:left w:val="single" w:sz="8" w:space="0" w:color="F3DFDE"/>
              <w:bottom w:val="single" w:sz="8" w:space="0" w:color="F3DFDE"/>
              <w:right w:val="single" w:sz="8" w:space="0" w:color="F3DFDE"/>
            </w:tcBorders>
            <w:shd w:val="clear" w:color="auto" w:fill="F3DFD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444" w:rsidRPr="00B90444" w:rsidRDefault="00B90444" w:rsidP="00B90444">
            <w:pPr>
              <w:widowControl/>
              <w:jc w:val="center"/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</w:pPr>
            <w:r w:rsidRPr="00B90444">
              <w:rPr>
                <w:rFonts w:ascii="標楷體" w:eastAsia="標楷體" w:hAnsi="標楷體" w:cs="Arial"/>
                <w:b/>
                <w:color w:val="595959"/>
                <w:kern w:val="0"/>
                <w:szCs w:val="24"/>
              </w:rPr>
              <w:t>時間</w:t>
            </w:r>
          </w:p>
        </w:tc>
        <w:tc>
          <w:tcPr>
            <w:tcW w:w="7643" w:type="dxa"/>
            <w:tcBorders>
              <w:top w:val="single" w:sz="8" w:space="0" w:color="F3DFDE"/>
              <w:left w:val="nil"/>
              <w:bottom w:val="single" w:sz="8" w:space="0" w:color="F3DFDE"/>
              <w:right w:val="single" w:sz="8" w:space="0" w:color="F3DFDE"/>
            </w:tcBorders>
            <w:shd w:val="clear" w:color="auto" w:fill="F3DFD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444" w:rsidRPr="00B90444" w:rsidRDefault="00B90444" w:rsidP="00B90444">
            <w:pPr>
              <w:widowControl/>
              <w:jc w:val="center"/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</w:pPr>
            <w:r w:rsidRPr="00B90444">
              <w:rPr>
                <w:rFonts w:ascii="標楷體" w:eastAsia="標楷體" w:hAnsi="標楷體" w:cs="Arial"/>
                <w:b/>
                <w:color w:val="595959"/>
                <w:kern w:val="0"/>
                <w:szCs w:val="24"/>
              </w:rPr>
              <w:t>議程</w:t>
            </w:r>
          </w:p>
        </w:tc>
      </w:tr>
      <w:tr w:rsidR="00B90444" w:rsidRPr="00B90444" w:rsidTr="007D5C5C">
        <w:tc>
          <w:tcPr>
            <w:tcW w:w="1975" w:type="dxa"/>
            <w:tcBorders>
              <w:top w:val="nil"/>
              <w:left w:val="single" w:sz="8" w:space="0" w:color="F3DFDE"/>
              <w:bottom w:val="single" w:sz="8" w:space="0" w:color="F3DFDE"/>
              <w:right w:val="single" w:sz="8" w:space="0" w:color="F3DFD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444" w:rsidRPr="00B90444" w:rsidRDefault="007D5C5C" w:rsidP="007D5C5C">
            <w:pPr>
              <w:widowControl/>
              <w:jc w:val="center"/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</w:pPr>
            <w:r w:rsidRPr="004C2F16">
              <w:rPr>
                <w:rFonts w:ascii="標楷體" w:eastAsia="標楷體" w:hAnsi="標楷體" w:cs="Arial"/>
                <w:b/>
                <w:color w:val="666666"/>
                <w:kern w:val="0"/>
                <w:szCs w:val="24"/>
              </w:rPr>
              <w:t>13:30</w:t>
            </w:r>
            <w:r w:rsidR="00B90444" w:rsidRPr="00B90444">
              <w:rPr>
                <w:rFonts w:ascii="標楷體" w:eastAsia="標楷體" w:hAnsi="標楷體" w:cs="Arial"/>
                <w:b/>
                <w:color w:val="666666"/>
                <w:kern w:val="0"/>
                <w:szCs w:val="24"/>
              </w:rPr>
              <w:t>-14:00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8" w:space="0" w:color="F3DFDE"/>
              <w:right w:val="single" w:sz="8" w:space="0" w:color="F3DFD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444" w:rsidRPr="00B90444" w:rsidRDefault="00B90444" w:rsidP="00B90444">
            <w:pPr>
              <w:widowControl/>
              <w:jc w:val="center"/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</w:pPr>
            <w:r w:rsidRPr="00B90444">
              <w:rPr>
                <w:rFonts w:ascii="標楷體" w:eastAsia="標楷體" w:hAnsi="標楷體" w:cs="Arial"/>
                <w:b/>
                <w:color w:val="666666"/>
                <w:kern w:val="0"/>
                <w:szCs w:val="24"/>
              </w:rPr>
              <w:t>入場、報到</w:t>
            </w:r>
          </w:p>
        </w:tc>
      </w:tr>
      <w:tr w:rsidR="00B90444" w:rsidRPr="00B90444" w:rsidTr="007D5C5C">
        <w:tc>
          <w:tcPr>
            <w:tcW w:w="1975" w:type="dxa"/>
            <w:tcBorders>
              <w:top w:val="nil"/>
              <w:left w:val="single" w:sz="8" w:space="0" w:color="F3DFDE"/>
              <w:bottom w:val="single" w:sz="8" w:space="0" w:color="F3DFDE"/>
              <w:right w:val="single" w:sz="8" w:space="0" w:color="F3DFD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444" w:rsidRPr="00B90444" w:rsidRDefault="00B90444" w:rsidP="007D5C5C">
            <w:pPr>
              <w:widowControl/>
              <w:jc w:val="center"/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</w:pPr>
            <w:r w:rsidRPr="00B90444">
              <w:rPr>
                <w:rFonts w:ascii="標楷體" w:eastAsia="標楷體" w:hAnsi="標楷體" w:cs="Arial"/>
                <w:b/>
                <w:color w:val="666666"/>
                <w:kern w:val="0"/>
                <w:szCs w:val="24"/>
              </w:rPr>
              <w:t>14:00-14:05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8" w:space="0" w:color="F3DFDE"/>
              <w:right w:val="single" w:sz="8" w:space="0" w:color="F3DFD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444" w:rsidRPr="00B90444" w:rsidRDefault="00B90444" w:rsidP="00B90444">
            <w:pPr>
              <w:widowControl/>
              <w:jc w:val="center"/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</w:pPr>
            <w:r w:rsidRPr="00B90444">
              <w:rPr>
                <w:rFonts w:ascii="標楷體" w:eastAsia="標楷體" w:hAnsi="標楷體" w:cs="Arial"/>
                <w:b/>
                <w:color w:val="666666"/>
                <w:kern w:val="0"/>
                <w:szCs w:val="24"/>
              </w:rPr>
              <w:t>主持人開場</w:t>
            </w:r>
          </w:p>
        </w:tc>
      </w:tr>
      <w:tr w:rsidR="00B90444" w:rsidRPr="00B90444" w:rsidTr="007D5C5C">
        <w:tc>
          <w:tcPr>
            <w:tcW w:w="1975" w:type="dxa"/>
            <w:tcBorders>
              <w:top w:val="nil"/>
              <w:left w:val="single" w:sz="8" w:space="0" w:color="F3DFDE"/>
              <w:bottom w:val="single" w:sz="8" w:space="0" w:color="F3DFDE"/>
              <w:right w:val="single" w:sz="8" w:space="0" w:color="F3DFD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444" w:rsidRPr="00B90444" w:rsidRDefault="00B90444" w:rsidP="007D5C5C">
            <w:pPr>
              <w:widowControl/>
              <w:jc w:val="center"/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</w:pPr>
            <w:r w:rsidRPr="00B90444">
              <w:rPr>
                <w:rFonts w:ascii="標楷體" w:eastAsia="標楷體" w:hAnsi="標楷體" w:cs="Arial"/>
                <w:b/>
                <w:color w:val="666666"/>
                <w:kern w:val="0"/>
                <w:szCs w:val="24"/>
              </w:rPr>
              <w:t>14:05-15:00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8" w:space="0" w:color="F3DFDE"/>
              <w:right w:val="single" w:sz="8" w:space="0" w:color="F3DFD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444" w:rsidRPr="00B90444" w:rsidRDefault="00B90444" w:rsidP="00B90444">
            <w:pPr>
              <w:widowControl/>
              <w:jc w:val="center"/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</w:pPr>
            <w:r w:rsidRPr="00B90444">
              <w:rPr>
                <w:rFonts w:ascii="標楷體" w:eastAsia="標楷體" w:hAnsi="標楷體" w:cs="Arial"/>
                <w:b/>
                <w:color w:val="666666"/>
                <w:kern w:val="0"/>
                <w:szCs w:val="24"/>
              </w:rPr>
              <w:t>就《洗錢防制法》第15-2條交付帳戶罪的適用與</w:t>
            </w:r>
            <w:proofErr w:type="gramStart"/>
            <w:r w:rsidRPr="00B90444">
              <w:rPr>
                <w:rFonts w:ascii="標楷體" w:eastAsia="標楷體" w:hAnsi="標楷體" w:cs="Arial"/>
                <w:b/>
                <w:color w:val="666666"/>
                <w:kern w:val="0"/>
                <w:szCs w:val="24"/>
              </w:rPr>
              <w:t>競合暨辯護</w:t>
            </w:r>
            <w:proofErr w:type="gramEnd"/>
            <w:r w:rsidRPr="00B90444">
              <w:rPr>
                <w:rFonts w:ascii="標楷體" w:eastAsia="標楷體" w:hAnsi="標楷體" w:cs="Arial"/>
                <w:b/>
                <w:color w:val="666666"/>
                <w:kern w:val="0"/>
                <w:szCs w:val="24"/>
              </w:rPr>
              <w:t>策略分享</w:t>
            </w:r>
          </w:p>
        </w:tc>
      </w:tr>
      <w:tr w:rsidR="00B90444" w:rsidRPr="00B90444" w:rsidTr="007D5C5C">
        <w:tc>
          <w:tcPr>
            <w:tcW w:w="1975" w:type="dxa"/>
            <w:tcBorders>
              <w:top w:val="nil"/>
              <w:left w:val="single" w:sz="8" w:space="0" w:color="F3DFDE"/>
              <w:bottom w:val="single" w:sz="8" w:space="0" w:color="F3DFDE"/>
              <w:right w:val="single" w:sz="8" w:space="0" w:color="F3DFD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444" w:rsidRPr="00B90444" w:rsidRDefault="00B90444" w:rsidP="007D5C5C">
            <w:pPr>
              <w:widowControl/>
              <w:jc w:val="center"/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</w:pPr>
            <w:r w:rsidRPr="00B90444">
              <w:rPr>
                <w:rFonts w:ascii="標楷體" w:eastAsia="標楷體" w:hAnsi="標楷體" w:cs="Arial"/>
                <w:b/>
                <w:color w:val="666666"/>
                <w:kern w:val="0"/>
                <w:szCs w:val="24"/>
              </w:rPr>
              <w:t>15:00-15:30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8" w:space="0" w:color="F3DFDE"/>
              <w:right w:val="single" w:sz="8" w:space="0" w:color="F3DFD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444" w:rsidRPr="00B90444" w:rsidRDefault="00B90444" w:rsidP="00B90444">
            <w:pPr>
              <w:widowControl/>
              <w:jc w:val="center"/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</w:pPr>
            <w:r w:rsidRPr="00B90444">
              <w:rPr>
                <w:rFonts w:ascii="標楷體" w:eastAsia="標楷體" w:hAnsi="標楷體" w:cs="Arial"/>
                <w:b/>
                <w:color w:val="666666"/>
                <w:kern w:val="0"/>
                <w:szCs w:val="24"/>
              </w:rPr>
              <w:t>與談人分享</w:t>
            </w:r>
          </w:p>
        </w:tc>
      </w:tr>
      <w:tr w:rsidR="00B90444" w:rsidRPr="00B90444" w:rsidTr="007D5C5C">
        <w:tc>
          <w:tcPr>
            <w:tcW w:w="1975" w:type="dxa"/>
            <w:tcBorders>
              <w:top w:val="nil"/>
              <w:left w:val="single" w:sz="8" w:space="0" w:color="F3DFDE"/>
              <w:bottom w:val="single" w:sz="8" w:space="0" w:color="F3DFDE"/>
              <w:right w:val="single" w:sz="8" w:space="0" w:color="F3DFD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444" w:rsidRPr="00B90444" w:rsidRDefault="00B90444" w:rsidP="007D5C5C">
            <w:pPr>
              <w:widowControl/>
              <w:jc w:val="center"/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</w:pPr>
            <w:r w:rsidRPr="00B90444">
              <w:rPr>
                <w:rFonts w:ascii="標楷體" w:eastAsia="標楷體" w:hAnsi="標楷體" w:cs="Arial"/>
                <w:b/>
                <w:color w:val="666666"/>
                <w:kern w:val="0"/>
                <w:szCs w:val="24"/>
              </w:rPr>
              <w:t>15:30-16:00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8" w:space="0" w:color="F3DFDE"/>
              <w:right w:val="single" w:sz="8" w:space="0" w:color="F3DFD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444" w:rsidRPr="00B90444" w:rsidRDefault="00B90444" w:rsidP="00B90444">
            <w:pPr>
              <w:widowControl/>
              <w:jc w:val="center"/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</w:pPr>
            <w:r w:rsidRPr="00B90444">
              <w:rPr>
                <w:rFonts w:ascii="標楷體" w:eastAsia="標楷體" w:hAnsi="標楷體" w:cs="Arial"/>
                <w:b/>
                <w:color w:val="666666"/>
                <w:kern w:val="0"/>
                <w:szCs w:val="24"/>
              </w:rPr>
              <w:t>綜合座談</w:t>
            </w:r>
          </w:p>
        </w:tc>
      </w:tr>
      <w:tr w:rsidR="00B90444" w:rsidRPr="00B90444" w:rsidTr="007D5C5C">
        <w:tc>
          <w:tcPr>
            <w:tcW w:w="1975" w:type="dxa"/>
            <w:tcBorders>
              <w:top w:val="nil"/>
              <w:left w:val="single" w:sz="8" w:space="0" w:color="F3DFDE"/>
              <w:bottom w:val="single" w:sz="8" w:space="0" w:color="F3DFDE"/>
              <w:right w:val="single" w:sz="8" w:space="0" w:color="F3DFD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444" w:rsidRPr="00B90444" w:rsidRDefault="00B90444" w:rsidP="007D5C5C">
            <w:pPr>
              <w:widowControl/>
              <w:jc w:val="center"/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</w:pPr>
            <w:r w:rsidRPr="00B90444">
              <w:rPr>
                <w:rFonts w:ascii="標楷體" w:eastAsia="標楷體" w:hAnsi="標楷體" w:cs="Arial"/>
                <w:b/>
                <w:color w:val="666666"/>
                <w:kern w:val="0"/>
                <w:szCs w:val="24"/>
              </w:rPr>
              <w:t>16:00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8" w:space="0" w:color="F3DFDE"/>
              <w:right w:val="single" w:sz="8" w:space="0" w:color="F3DFD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444" w:rsidRPr="00B90444" w:rsidRDefault="00B90444" w:rsidP="00B90444">
            <w:pPr>
              <w:widowControl/>
              <w:jc w:val="center"/>
              <w:rPr>
                <w:rFonts w:ascii="標楷體" w:eastAsia="標楷體" w:hAnsi="標楷體" w:cs="Helvetica"/>
                <w:b/>
                <w:color w:val="666666"/>
                <w:kern w:val="0"/>
                <w:szCs w:val="24"/>
              </w:rPr>
            </w:pPr>
            <w:r w:rsidRPr="00B90444">
              <w:rPr>
                <w:rFonts w:ascii="標楷體" w:eastAsia="標楷體" w:hAnsi="標楷體" w:cs="Arial"/>
                <w:b/>
                <w:color w:val="666666"/>
                <w:kern w:val="0"/>
                <w:szCs w:val="24"/>
              </w:rPr>
              <w:t>賦歸</w:t>
            </w:r>
          </w:p>
        </w:tc>
      </w:tr>
    </w:tbl>
    <w:p w:rsidR="00D37808" w:rsidRDefault="00D37808" w:rsidP="00D37808">
      <w:pPr>
        <w:widowControl/>
        <w:shd w:val="clear" w:color="auto" w:fill="FFFFFF"/>
        <w:spacing w:line="240" w:lineRule="exact"/>
        <w:jc w:val="center"/>
        <w:outlineLvl w:val="1"/>
        <w:rPr>
          <w:rFonts w:ascii="標楷體" w:eastAsia="標楷體" w:hAnsi="標楷體" w:cs="Arial"/>
          <w:b/>
          <w:bCs/>
          <w:color w:val="343434"/>
          <w:kern w:val="0"/>
          <w:szCs w:val="24"/>
        </w:rPr>
      </w:pPr>
    </w:p>
    <w:p w:rsidR="007D5C5C" w:rsidRDefault="00B90444" w:rsidP="00D37808">
      <w:pPr>
        <w:widowControl/>
        <w:shd w:val="clear" w:color="auto" w:fill="FFFFFF"/>
        <w:spacing w:before="120"/>
        <w:jc w:val="center"/>
        <w:outlineLvl w:val="1"/>
        <w:rPr>
          <w:rFonts w:ascii="標楷體" w:eastAsia="標楷體" w:hAnsi="標楷體" w:cs="Helvetica"/>
          <w:color w:val="666666"/>
          <w:kern w:val="0"/>
          <w:szCs w:val="24"/>
        </w:rPr>
      </w:pPr>
      <w:r w:rsidRPr="00B90444">
        <w:rPr>
          <w:rFonts w:ascii="標楷體" w:eastAsia="標楷體" w:hAnsi="標楷體" w:cs="Arial"/>
          <w:b/>
          <w:bCs/>
          <w:color w:val="343434"/>
          <w:kern w:val="0"/>
          <w:szCs w:val="24"/>
        </w:rPr>
        <w:t>主辦單位</w:t>
      </w:r>
      <w:r w:rsidR="007D5C5C" w:rsidRPr="007D5C5C">
        <w:rPr>
          <w:rFonts w:ascii="標楷體" w:eastAsia="標楷體" w:hAnsi="標楷體" w:cs="Arial" w:hint="eastAsia"/>
          <w:b/>
          <w:bCs/>
          <w:color w:val="343434"/>
          <w:kern w:val="0"/>
          <w:szCs w:val="24"/>
        </w:rPr>
        <w:t>：</w:t>
      </w:r>
      <w:r w:rsidRPr="00B90444">
        <w:rPr>
          <w:rFonts w:ascii="標楷體" w:eastAsia="標楷體" w:hAnsi="標楷體" w:cs="Helvetica"/>
          <w:color w:val="666666"/>
          <w:kern w:val="0"/>
          <w:szCs w:val="24"/>
        </w:rPr>
        <w:t>財團法人民間司法改革基金會</w:t>
      </w:r>
    </w:p>
    <w:p w:rsidR="009910F3" w:rsidRPr="007D5C5C" w:rsidRDefault="00B90444" w:rsidP="00D37808">
      <w:pPr>
        <w:widowControl/>
        <w:shd w:val="clear" w:color="auto" w:fill="FFFFFF"/>
        <w:spacing w:before="120"/>
        <w:jc w:val="center"/>
        <w:outlineLvl w:val="1"/>
        <w:rPr>
          <w:rFonts w:ascii="標楷體" w:eastAsia="標楷體" w:hAnsi="標楷體"/>
          <w:szCs w:val="24"/>
        </w:rPr>
      </w:pPr>
      <w:r w:rsidRPr="00B90444">
        <w:rPr>
          <w:rFonts w:ascii="標楷體" w:eastAsia="標楷體" w:hAnsi="標楷體" w:cs="Arial"/>
          <w:b/>
          <w:bCs/>
          <w:color w:val="343434"/>
          <w:kern w:val="0"/>
          <w:szCs w:val="24"/>
        </w:rPr>
        <w:t>合辦單位</w:t>
      </w:r>
      <w:r w:rsidR="007D5C5C" w:rsidRPr="007D5C5C">
        <w:rPr>
          <w:rFonts w:ascii="標楷體" w:eastAsia="標楷體" w:hAnsi="標楷體" w:cs="Arial" w:hint="eastAsia"/>
          <w:b/>
          <w:bCs/>
          <w:color w:val="343434"/>
          <w:kern w:val="0"/>
          <w:szCs w:val="24"/>
        </w:rPr>
        <w:t>：</w:t>
      </w:r>
      <w:r w:rsidRPr="00B90444">
        <w:rPr>
          <w:rFonts w:ascii="標楷體" w:eastAsia="標楷體" w:hAnsi="標楷體" w:cs="Helvetica"/>
          <w:color w:val="666666"/>
          <w:kern w:val="0"/>
          <w:szCs w:val="24"/>
        </w:rPr>
        <w:t>財團法人法律扶助基金會</w:t>
      </w:r>
      <w:r w:rsidR="007D5C5C" w:rsidRPr="007D5C5C">
        <w:rPr>
          <w:rFonts w:ascii="標楷體" w:eastAsia="標楷體" w:hAnsi="標楷體" w:cs="Helvetica"/>
          <w:color w:val="666666"/>
          <w:kern w:val="0"/>
          <w:szCs w:val="24"/>
        </w:rPr>
        <w:t>、社團法人台</w:t>
      </w:r>
      <w:r w:rsidRPr="00B90444">
        <w:rPr>
          <w:rFonts w:ascii="標楷體" w:eastAsia="標楷體" w:hAnsi="標楷體" w:cs="Helvetica"/>
          <w:color w:val="666666"/>
          <w:kern w:val="0"/>
          <w:szCs w:val="24"/>
        </w:rPr>
        <w:t>南律師公會</w:t>
      </w:r>
    </w:p>
    <w:sectPr w:rsidR="009910F3" w:rsidRPr="007D5C5C" w:rsidSect="00D20343">
      <w:pgSz w:w="11906" w:h="16838"/>
      <w:pgMar w:top="1134" w:right="1134" w:bottom="39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444"/>
    <w:rsid w:val="004C2F16"/>
    <w:rsid w:val="00632549"/>
    <w:rsid w:val="007D5C5C"/>
    <w:rsid w:val="009910F3"/>
    <w:rsid w:val="00B90444"/>
    <w:rsid w:val="00D20343"/>
    <w:rsid w:val="00D3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5:chartTrackingRefBased/>
  <w15:docId w15:val="{E5295521-EF16-435C-B256-665175B5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B90444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B90444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B90444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B90444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B9044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B90444"/>
    <w:rPr>
      <w:color w:val="0000FF"/>
      <w:u w:val="single"/>
    </w:rPr>
  </w:style>
  <w:style w:type="paragraph" w:customStyle="1" w:styleId="text-center">
    <w:name w:val="text-center"/>
    <w:basedOn w:val="a"/>
    <w:rsid w:val="00B9044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label">
    <w:name w:val="label"/>
    <w:basedOn w:val="a0"/>
    <w:rsid w:val="00B90444"/>
  </w:style>
  <w:style w:type="paragraph" w:styleId="a4">
    <w:name w:val="Subtitle"/>
    <w:basedOn w:val="a"/>
    <w:next w:val="a"/>
    <w:link w:val="a5"/>
    <w:qFormat/>
    <w:rsid w:val="00D20343"/>
    <w:pPr>
      <w:spacing w:after="60"/>
      <w:jc w:val="center"/>
      <w:outlineLvl w:val="1"/>
    </w:pPr>
    <w:rPr>
      <w:rFonts w:ascii="Cambria" w:eastAsia="新細明體" w:hAnsi="Cambria" w:cs="Times New Roman"/>
      <w:i/>
      <w:iCs/>
      <w:szCs w:val="24"/>
    </w:rPr>
  </w:style>
  <w:style w:type="character" w:customStyle="1" w:styleId="a5">
    <w:name w:val="副標題 字元"/>
    <w:basedOn w:val="a0"/>
    <w:link w:val="a4"/>
    <w:rsid w:val="00D20343"/>
    <w:rPr>
      <w:rFonts w:ascii="Cambria" w:eastAsia="新細明體" w:hAnsi="Cambria" w:cs="Times New Roman"/>
      <w:i/>
      <w:iCs/>
      <w:szCs w:val="24"/>
    </w:rPr>
  </w:style>
  <w:style w:type="paragraph" w:styleId="a6">
    <w:name w:val="List Paragraph"/>
    <w:basedOn w:val="a"/>
    <w:uiPriority w:val="34"/>
    <w:qFormat/>
    <w:rsid w:val="00D20343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6325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325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7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neti.cc/pOadAM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2024-04-09T08:22:00Z</cp:lastPrinted>
  <dcterms:created xsi:type="dcterms:W3CDTF">2024-04-02T01:31:00Z</dcterms:created>
  <dcterms:modified xsi:type="dcterms:W3CDTF">2024-04-09T08:22:00Z</dcterms:modified>
</cp:coreProperties>
</file>