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1B" w:rsidRDefault="0094121A">
      <w:pPr>
        <w:spacing w:line="362" w:lineRule="exact"/>
        <w:jc w:val="center"/>
        <w:rPr>
          <w:rFonts w:ascii="標楷體" w:eastAsia="標楷體" w:hAnsi="標楷體" w:cs="標楷體"/>
          <w:sz w:val="28"/>
          <w:szCs w:val="28"/>
          <w:lang w:eastAsia="zh-TW"/>
        </w:rPr>
      </w:pPr>
      <w:bookmarkStart w:id="0" w:name="_GoBack"/>
      <w:bookmarkEnd w:id="0"/>
      <w:r>
        <w:rPr>
          <w:rFonts w:ascii="標楷體" w:eastAsia="標楷體" w:hAnsi="標楷體" w:cs="標楷體"/>
          <w:b/>
          <w:bCs/>
          <w:spacing w:val="-1"/>
          <w:sz w:val="28"/>
          <w:szCs w:val="28"/>
          <w:lang w:eastAsia="zh-TW"/>
        </w:rPr>
        <w:t>國際經貿談判法律專業領域進修科目課綱</w:t>
      </w:r>
    </w:p>
    <w:p w:rsidR="00F0421B" w:rsidRDefault="00F0421B">
      <w:pPr>
        <w:spacing w:before="2"/>
        <w:rPr>
          <w:rFonts w:ascii="標楷體" w:eastAsia="標楷體" w:hAnsi="標楷體" w:cs="標楷體"/>
          <w:b/>
          <w:bCs/>
          <w:sz w:val="25"/>
          <w:szCs w:val="25"/>
          <w:lang w:eastAsia="zh-TW"/>
        </w:rPr>
      </w:pPr>
    </w:p>
    <w:p w:rsidR="00F0421B" w:rsidRDefault="0094121A" w:rsidP="00F73454">
      <w:pPr>
        <w:ind w:left="4265"/>
        <w:jc w:val="right"/>
        <w:rPr>
          <w:rFonts w:ascii="標楷體" w:eastAsia="標楷體" w:hAnsi="標楷體" w:cs="標楷體"/>
          <w:b/>
          <w:bCs/>
          <w:sz w:val="20"/>
          <w:szCs w:val="20"/>
          <w:lang w:eastAsia="zh-TW"/>
        </w:rPr>
      </w:pPr>
      <w:r>
        <w:rPr>
          <w:rFonts w:ascii="標楷體" w:eastAsia="標楷體" w:hAnsi="標楷體" w:cs="標楷體"/>
          <w:b/>
          <w:bCs/>
          <w:spacing w:val="1"/>
          <w:sz w:val="20"/>
          <w:szCs w:val="20"/>
          <w:lang w:eastAsia="zh-TW"/>
        </w:rPr>
        <w:t>民國</w:t>
      </w:r>
      <w:r>
        <w:rPr>
          <w:rFonts w:ascii="標楷體" w:eastAsia="標楷體" w:hAnsi="標楷體" w:cs="標楷體"/>
          <w:b/>
          <w:bCs/>
          <w:spacing w:val="-55"/>
          <w:sz w:val="20"/>
          <w:szCs w:val="20"/>
          <w:lang w:eastAsia="zh-TW"/>
        </w:rPr>
        <w:t xml:space="preserve"> </w:t>
      </w:r>
      <w:r>
        <w:rPr>
          <w:rFonts w:ascii="Times New Roman" w:eastAsia="Times New Roman" w:hAnsi="Times New Roman" w:cs="Times New Roman"/>
          <w:b/>
          <w:bCs/>
          <w:spacing w:val="-5"/>
          <w:sz w:val="20"/>
          <w:szCs w:val="20"/>
          <w:lang w:eastAsia="zh-TW"/>
        </w:rPr>
        <w:t>113</w:t>
      </w:r>
      <w:r>
        <w:rPr>
          <w:rFonts w:ascii="Times New Roman" w:eastAsia="Times New Roman" w:hAnsi="Times New Roman" w:cs="Times New Roman"/>
          <w:b/>
          <w:bCs/>
          <w:spacing w:val="-13"/>
          <w:sz w:val="20"/>
          <w:szCs w:val="20"/>
          <w:lang w:eastAsia="zh-TW"/>
        </w:rPr>
        <w:t xml:space="preserve"> </w:t>
      </w:r>
      <w:r>
        <w:rPr>
          <w:rFonts w:ascii="標楷體" w:eastAsia="標楷體" w:hAnsi="標楷體" w:cs="標楷體"/>
          <w:b/>
          <w:bCs/>
          <w:sz w:val="20"/>
          <w:szCs w:val="20"/>
          <w:lang w:eastAsia="zh-TW"/>
        </w:rPr>
        <w:t>年</w:t>
      </w:r>
      <w:r>
        <w:rPr>
          <w:rFonts w:ascii="標楷體" w:eastAsia="標楷體" w:hAnsi="標楷體" w:cs="標楷體"/>
          <w:b/>
          <w:bCs/>
          <w:spacing w:val="-55"/>
          <w:sz w:val="20"/>
          <w:szCs w:val="20"/>
          <w:lang w:eastAsia="zh-TW"/>
        </w:rPr>
        <w:t xml:space="preserve"> </w:t>
      </w:r>
      <w:r>
        <w:rPr>
          <w:rFonts w:ascii="Times New Roman" w:eastAsia="Times New Roman" w:hAnsi="Times New Roman" w:cs="Times New Roman"/>
          <w:b/>
          <w:bCs/>
          <w:sz w:val="20"/>
          <w:szCs w:val="20"/>
          <w:lang w:eastAsia="zh-TW"/>
        </w:rPr>
        <w:t>6</w:t>
      </w:r>
      <w:r>
        <w:rPr>
          <w:rFonts w:ascii="Times New Roman" w:eastAsia="Times New Roman" w:hAnsi="Times New Roman" w:cs="Times New Roman"/>
          <w:b/>
          <w:bCs/>
          <w:spacing w:val="-13"/>
          <w:sz w:val="20"/>
          <w:szCs w:val="20"/>
          <w:lang w:eastAsia="zh-TW"/>
        </w:rPr>
        <w:t xml:space="preserve"> </w:t>
      </w:r>
      <w:r>
        <w:rPr>
          <w:rFonts w:ascii="標楷體" w:eastAsia="標楷體" w:hAnsi="標楷體" w:cs="標楷體"/>
          <w:b/>
          <w:bCs/>
          <w:sz w:val="20"/>
          <w:szCs w:val="20"/>
          <w:lang w:eastAsia="zh-TW"/>
        </w:rPr>
        <w:t>月</w:t>
      </w:r>
      <w:r>
        <w:rPr>
          <w:rFonts w:ascii="標楷體" w:eastAsia="標楷體" w:hAnsi="標楷體" w:cs="標楷體"/>
          <w:b/>
          <w:bCs/>
          <w:spacing w:val="-54"/>
          <w:sz w:val="20"/>
          <w:szCs w:val="20"/>
          <w:lang w:eastAsia="zh-TW"/>
        </w:rPr>
        <w:t xml:space="preserve"> </w:t>
      </w:r>
      <w:r>
        <w:rPr>
          <w:rFonts w:ascii="Times New Roman" w:eastAsia="Times New Roman" w:hAnsi="Times New Roman" w:cs="Times New Roman"/>
          <w:b/>
          <w:bCs/>
          <w:spacing w:val="-1"/>
          <w:sz w:val="20"/>
          <w:szCs w:val="20"/>
          <w:lang w:eastAsia="zh-TW"/>
        </w:rPr>
        <w:t>23</w:t>
      </w:r>
      <w:r>
        <w:rPr>
          <w:rFonts w:ascii="Times New Roman" w:eastAsia="Times New Roman" w:hAnsi="Times New Roman" w:cs="Times New Roman"/>
          <w:b/>
          <w:bCs/>
          <w:spacing w:val="-12"/>
          <w:sz w:val="20"/>
          <w:szCs w:val="20"/>
          <w:lang w:eastAsia="zh-TW"/>
        </w:rPr>
        <w:t xml:space="preserve"> </w:t>
      </w:r>
      <w:r>
        <w:rPr>
          <w:rFonts w:ascii="標楷體" w:eastAsia="標楷體" w:hAnsi="標楷體" w:cs="標楷體"/>
          <w:b/>
          <w:bCs/>
          <w:sz w:val="20"/>
          <w:szCs w:val="20"/>
          <w:lang w:eastAsia="zh-TW"/>
        </w:rPr>
        <w:t>日國際經貿談判委員會通過</w:t>
      </w:r>
    </w:p>
    <w:p w:rsidR="00F0421B" w:rsidRDefault="001707FC" w:rsidP="00F73454">
      <w:pPr>
        <w:jc w:val="right"/>
        <w:rPr>
          <w:rFonts w:ascii="標楷體" w:eastAsia="標楷體" w:hAnsi="標楷體" w:cs="標楷體"/>
          <w:b/>
          <w:bCs/>
          <w:sz w:val="20"/>
          <w:szCs w:val="20"/>
          <w:lang w:eastAsia="zh-TW"/>
        </w:rPr>
      </w:pPr>
      <w:r>
        <w:rPr>
          <w:rFonts w:ascii="標楷體" w:eastAsia="標楷體" w:hAnsi="標楷體" w:cs="標楷體"/>
          <w:b/>
          <w:bCs/>
          <w:spacing w:val="1"/>
          <w:sz w:val="20"/>
          <w:szCs w:val="20"/>
          <w:lang w:eastAsia="zh-TW"/>
        </w:rPr>
        <w:t>民國</w:t>
      </w:r>
      <w:r>
        <w:rPr>
          <w:rFonts w:ascii="標楷體" w:eastAsia="標楷體" w:hAnsi="標楷體" w:cs="標楷體"/>
          <w:b/>
          <w:bCs/>
          <w:spacing w:val="-55"/>
          <w:sz w:val="20"/>
          <w:szCs w:val="20"/>
          <w:lang w:eastAsia="zh-TW"/>
        </w:rPr>
        <w:t xml:space="preserve"> </w:t>
      </w:r>
      <w:r>
        <w:rPr>
          <w:rFonts w:ascii="Times New Roman" w:eastAsia="Times New Roman" w:hAnsi="Times New Roman" w:cs="Times New Roman"/>
          <w:b/>
          <w:bCs/>
          <w:spacing w:val="-5"/>
          <w:sz w:val="20"/>
          <w:szCs w:val="20"/>
          <w:lang w:eastAsia="zh-TW"/>
        </w:rPr>
        <w:t>113</w:t>
      </w:r>
      <w:r>
        <w:rPr>
          <w:rFonts w:ascii="Times New Roman" w:eastAsia="Times New Roman" w:hAnsi="Times New Roman" w:cs="Times New Roman"/>
          <w:b/>
          <w:bCs/>
          <w:spacing w:val="-13"/>
          <w:sz w:val="20"/>
          <w:szCs w:val="20"/>
          <w:lang w:eastAsia="zh-TW"/>
        </w:rPr>
        <w:t xml:space="preserve"> </w:t>
      </w:r>
      <w:r>
        <w:rPr>
          <w:rFonts w:ascii="標楷體" w:eastAsia="標楷體" w:hAnsi="標楷體" w:cs="標楷體"/>
          <w:b/>
          <w:bCs/>
          <w:sz w:val="20"/>
          <w:szCs w:val="20"/>
          <w:lang w:eastAsia="zh-TW"/>
        </w:rPr>
        <w:t>年</w:t>
      </w:r>
      <w:r>
        <w:rPr>
          <w:rFonts w:ascii="標楷體" w:eastAsia="標楷體" w:hAnsi="標楷體" w:cs="標楷體"/>
          <w:b/>
          <w:bCs/>
          <w:spacing w:val="-55"/>
          <w:sz w:val="20"/>
          <w:szCs w:val="20"/>
          <w:lang w:eastAsia="zh-TW"/>
        </w:rPr>
        <w:t xml:space="preserve"> </w:t>
      </w:r>
      <w:r>
        <w:rPr>
          <w:rFonts w:ascii="標楷體" w:eastAsia="標楷體" w:hAnsi="標楷體" w:cs="標楷體" w:hint="eastAsia"/>
          <w:b/>
          <w:bCs/>
          <w:spacing w:val="-55"/>
          <w:sz w:val="20"/>
          <w:szCs w:val="20"/>
          <w:lang w:eastAsia="zh-TW"/>
        </w:rPr>
        <w:t xml:space="preserve">7 </w:t>
      </w:r>
      <w:r>
        <w:rPr>
          <w:rFonts w:ascii="標楷體" w:eastAsia="標楷體" w:hAnsi="標楷體" w:cs="標楷體"/>
          <w:b/>
          <w:bCs/>
          <w:sz w:val="20"/>
          <w:szCs w:val="20"/>
          <w:lang w:eastAsia="zh-TW"/>
        </w:rPr>
        <w:t>月</w:t>
      </w:r>
      <w:r>
        <w:rPr>
          <w:rFonts w:ascii="標楷體" w:eastAsia="標楷體" w:hAnsi="標楷體" w:cs="標楷體" w:hint="eastAsia"/>
          <w:b/>
          <w:bCs/>
          <w:spacing w:val="1"/>
          <w:sz w:val="20"/>
          <w:szCs w:val="20"/>
          <w:lang w:eastAsia="zh-TW"/>
        </w:rPr>
        <w:t>15</w:t>
      </w:r>
      <w:r>
        <w:rPr>
          <w:rFonts w:ascii="標楷體" w:eastAsia="標楷體" w:hAnsi="標楷體" w:cs="標楷體"/>
          <w:b/>
          <w:bCs/>
          <w:sz w:val="20"/>
          <w:szCs w:val="20"/>
          <w:lang w:eastAsia="zh-TW"/>
        </w:rPr>
        <w:t>日</w:t>
      </w:r>
      <w:r w:rsidR="00F73454">
        <w:rPr>
          <w:rFonts w:ascii="標楷體" w:eastAsia="標楷體" w:hAnsi="標楷體" w:cs="標楷體" w:hint="eastAsia"/>
          <w:b/>
          <w:bCs/>
          <w:sz w:val="20"/>
          <w:szCs w:val="20"/>
          <w:lang w:eastAsia="zh-TW"/>
        </w:rPr>
        <w:t>全律會</w:t>
      </w:r>
      <w:r>
        <w:rPr>
          <w:rFonts w:ascii="標楷體" w:eastAsia="標楷體" w:hAnsi="標楷體" w:cs="標楷體" w:hint="eastAsia"/>
          <w:b/>
          <w:bCs/>
          <w:sz w:val="20"/>
          <w:szCs w:val="20"/>
          <w:lang w:eastAsia="zh-TW"/>
        </w:rPr>
        <w:t>專業領域課綱討論會議</w:t>
      </w:r>
      <w:r w:rsidR="00F73454">
        <w:rPr>
          <w:rFonts w:ascii="標楷體" w:eastAsia="標楷體" w:hAnsi="標楷體" w:cs="標楷體" w:hint="eastAsia"/>
          <w:b/>
          <w:bCs/>
          <w:sz w:val="20"/>
          <w:szCs w:val="20"/>
          <w:lang w:eastAsia="zh-TW"/>
        </w:rPr>
        <w:t>視訊會議討論後修訂</w:t>
      </w:r>
    </w:p>
    <w:p w:rsidR="00F73454" w:rsidRPr="00F73454" w:rsidRDefault="00F73454" w:rsidP="00F73454">
      <w:pPr>
        <w:rPr>
          <w:rFonts w:ascii="標楷體" w:eastAsia="標楷體" w:hAnsi="標楷體" w:cs="標楷體" w:hint="eastAsia"/>
          <w:b/>
          <w:bCs/>
          <w:sz w:val="18"/>
          <w:szCs w:val="18"/>
          <w:lang w:eastAsia="zh-TW"/>
        </w:rPr>
      </w:pPr>
    </w:p>
    <w:p w:rsidR="00F0421B" w:rsidRDefault="0094121A">
      <w:pPr>
        <w:pStyle w:val="1"/>
        <w:rPr>
          <w:b w:val="0"/>
          <w:bCs w:val="0"/>
          <w:lang w:eastAsia="zh-TW"/>
        </w:rPr>
      </w:pPr>
      <w:r>
        <w:rPr>
          <w:lang w:eastAsia="zh-TW"/>
        </w:rPr>
        <w:t>壹、說明</w:t>
      </w:r>
    </w:p>
    <w:p w:rsidR="00F0421B" w:rsidRDefault="0094121A">
      <w:pPr>
        <w:pStyle w:val="a3"/>
        <w:spacing w:before="134" w:line="275" w:lineRule="auto"/>
        <w:ind w:left="600" w:right="109"/>
        <w:jc w:val="both"/>
        <w:rPr>
          <w:lang w:eastAsia="zh-TW"/>
        </w:rPr>
      </w:pPr>
      <w:r>
        <w:rPr>
          <w:spacing w:val="4"/>
          <w:lang w:eastAsia="zh-TW"/>
        </w:rPr>
        <w:t>本課綱目標旨在培養具備國際經貿談判法律相關專業知識技能與素養之律</w:t>
      </w:r>
      <w:r>
        <w:rPr>
          <w:spacing w:val="26"/>
          <w:lang w:eastAsia="zh-TW"/>
        </w:rPr>
        <w:t xml:space="preserve"> </w:t>
      </w:r>
      <w:r>
        <w:rPr>
          <w:spacing w:val="4"/>
          <w:lang w:eastAsia="zh-TW"/>
        </w:rPr>
        <w:t>師，以我國政府與我國參與國際商務之各類企業為核心，擘劃我國律師能</w:t>
      </w:r>
      <w:r>
        <w:rPr>
          <w:spacing w:val="4"/>
          <w:lang w:eastAsia="zh-TW"/>
        </w:rPr>
        <w:t xml:space="preserve"> </w:t>
      </w:r>
      <w:r>
        <w:rPr>
          <w:spacing w:val="4"/>
          <w:lang w:eastAsia="zh-TW"/>
        </w:rPr>
        <w:t>在我國國際經貿談判法律領域協助我國政府與我國參與國際商務之各類企</w:t>
      </w:r>
      <w:r>
        <w:rPr>
          <w:spacing w:val="25"/>
          <w:lang w:eastAsia="zh-TW"/>
        </w:rPr>
        <w:t xml:space="preserve"> </w:t>
      </w:r>
      <w:r>
        <w:rPr>
          <w:lang w:eastAsia="zh-TW"/>
        </w:rPr>
        <w:t>業發揮國際影響力之各類課程。</w:t>
      </w:r>
    </w:p>
    <w:p w:rsidR="00F0421B" w:rsidRDefault="00F0421B">
      <w:pPr>
        <w:spacing w:before="4"/>
        <w:rPr>
          <w:rFonts w:ascii="標楷體" w:eastAsia="標楷體" w:hAnsi="標楷體" w:cs="標楷體"/>
          <w:sz w:val="35"/>
          <w:szCs w:val="35"/>
          <w:lang w:eastAsia="zh-TW"/>
        </w:rPr>
      </w:pPr>
    </w:p>
    <w:p w:rsidR="00FE2642" w:rsidRDefault="0094121A">
      <w:pPr>
        <w:spacing w:line="343" w:lineRule="auto"/>
        <w:ind w:left="120" w:right="762"/>
        <w:rPr>
          <w:rFonts w:ascii="標楷體" w:eastAsia="標楷體" w:hAnsi="標楷體" w:cs="標楷體"/>
          <w:b/>
          <w:bCs/>
          <w:spacing w:val="22"/>
          <w:w w:val="99"/>
          <w:sz w:val="24"/>
          <w:szCs w:val="24"/>
          <w:lang w:eastAsia="zh-TW"/>
        </w:rPr>
      </w:pPr>
      <w:r>
        <w:rPr>
          <w:rFonts w:ascii="標楷體" w:eastAsia="標楷體" w:hAnsi="標楷體" w:cs="標楷體"/>
          <w:b/>
          <w:bCs/>
          <w:sz w:val="24"/>
          <w:szCs w:val="24"/>
          <w:lang w:eastAsia="zh-TW"/>
        </w:rPr>
        <w:t>貳、課程目標</w:t>
      </w:r>
    </w:p>
    <w:p w:rsidR="00F0421B" w:rsidRDefault="0094121A">
      <w:pPr>
        <w:spacing w:line="343" w:lineRule="auto"/>
        <w:ind w:left="120" w:right="762"/>
        <w:rPr>
          <w:rFonts w:ascii="標楷體" w:eastAsia="標楷體" w:hAnsi="標楷體" w:cs="標楷體"/>
          <w:sz w:val="24"/>
          <w:szCs w:val="24"/>
          <w:lang w:eastAsia="zh-TW"/>
        </w:rPr>
      </w:pPr>
      <w:r>
        <w:rPr>
          <w:rFonts w:ascii="標楷體" w:eastAsia="標楷體" w:hAnsi="標楷體" w:cs="標楷體"/>
          <w:sz w:val="24"/>
          <w:szCs w:val="24"/>
          <w:lang w:eastAsia="zh-TW"/>
        </w:rPr>
        <w:t>一、了解國際經貿談判法律各領域基本概念、原則和流程。</w:t>
      </w:r>
    </w:p>
    <w:p w:rsidR="00F0421B" w:rsidRDefault="0094121A">
      <w:pPr>
        <w:pStyle w:val="a3"/>
        <w:spacing w:before="0" w:line="257" w:lineRule="exact"/>
        <w:ind w:left="686" w:hanging="567"/>
        <w:rPr>
          <w:lang w:eastAsia="zh-TW"/>
        </w:rPr>
      </w:pPr>
      <w:r>
        <w:rPr>
          <w:spacing w:val="3"/>
          <w:lang w:eastAsia="zh-TW"/>
        </w:rPr>
        <w:t>二、培養律師關於國際經貿談判法律領域之分析、溝通、協商和解決問題的能</w:t>
      </w:r>
    </w:p>
    <w:p w:rsidR="00FE2642" w:rsidRDefault="0094121A">
      <w:pPr>
        <w:pStyle w:val="a3"/>
        <w:spacing w:before="46" w:line="275" w:lineRule="auto"/>
        <w:ind w:left="120" w:firstLine="566"/>
        <w:rPr>
          <w:lang w:eastAsia="zh-TW"/>
        </w:rPr>
      </w:pPr>
      <w:r>
        <w:rPr>
          <w:lang w:eastAsia="zh-TW"/>
        </w:rPr>
        <w:t>力。</w:t>
      </w:r>
    </w:p>
    <w:p w:rsidR="00F0421B" w:rsidRDefault="0094121A" w:rsidP="00FE2642">
      <w:pPr>
        <w:pStyle w:val="a3"/>
        <w:spacing w:before="46" w:line="275" w:lineRule="auto"/>
        <w:ind w:left="120"/>
        <w:rPr>
          <w:lang w:eastAsia="zh-TW"/>
        </w:rPr>
      </w:pPr>
      <w:r>
        <w:rPr>
          <w:lang w:eastAsia="zh-TW"/>
        </w:rPr>
        <w:t>三、能結合理論與實務，為我國企業、產業、政府運用國際經貿談判法律專業</w:t>
      </w:r>
    </w:p>
    <w:p w:rsidR="00FE2642" w:rsidRDefault="0094121A" w:rsidP="00FE2642">
      <w:pPr>
        <w:pStyle w:val="a3"/>
        <w:spacing w:before="11" w:line="275" w:lineRule="auto"/>
        <w:ind w:left="120" w:firstLine="479"/>
        <w:rPr>
          <w:lang w:eastAsia="zh-TW"/>
        </w:rPr>
      </w:pPr>
      <w:r>
        <w:rPr>
          <w:lang w:eastAsia="zh-TW"/>
        </w:rPr>
        <w:t>知識提供法律建議及協助解決爭端。</w:t>
      </w:r>
      <w:r>
        <w:rPr>
          <w:lang w:eastAsia="zh-TW"/>
        </w:rPr>
        <w:t xml:space="preserve"> </w:t>
      </w:r>
    </w:p>
    <w:p w:rsidR="00FE2642" w:rsidRDefault="0094121A" w:rsidP="00FE2642">
      <w:pPr>
        <w:pStyle w:val="a3"/>
        <w:spacing w:before="11" w:line="275" w:lineRule="auto"/>
        <w:ind w:left="120"/>
        <w:rPr>
          <w:lang w:eastAsia="zh-TW"/>
        </w:rPr>
      </w:pPr>
      <w:r>
        <w:rPr>
          <w:lang w:eastAsia="zh-TW"/>
        </w:rPr>
        <w:t>四、熟悉我國及企業有關國際經貿談判法律實踐，包括與國際經貿談判有關的</w:t>
      </w:r>
    </w:p>
    <w:p w:rsidR="00FE2642" w:rsidRDefault="00FE2642" w:rsidP="00FE2642">
      <w:pPr>
        <w:pStyle w:val="a3"/>
        <w:spacing w:before="11" w:line="275" w:lineRule="auto"/>
        <w:ind w:left="120"/>
        <w:rPr>
          <w:lang w:eastAsia="zh-TW"/>
        </w:rPr>
      </w:pPr>
      <w:r>
        <w:rPr>
          <w:rFonts w:hint="eastAsia"/>
          <w:lang w:eastAsia="zh-TW"/>
        </w:rPr>
        <w:t xml:space="preserve">    </w:t>
      </w:r>
      <w:r w:rsidR="0094121A">
        <w:rPr>
          <w:lang w:eastAsia="zh-TW"/>
        </w:rPr>
        <w:t>重</w:t>
      </w:r>
      <w:r w:rsidR="0094121A">
        <w:rPr>
          <w:lang w:eastAsia="zh-TW"/>
        </w:rPr>
        <w:t>要立法與外交實踐。</w:t>
      </w:r>
      <w:r w:rsidR="0094121A">
        <w:rPr>
          <w:lang w:eastAsia="zh-TW"/>
        </w:rPr>
        <w:t xml:space="preserve"> </w:t>
      </w:r>
    </w:p>
    <w:p w:rsidR="00F0421B" w:rsidRDefault="0094121A" w:rsidP="00FE2642">
      <w:pPr>
        <w:pStyle w:val="a3"/>
        <w:spacing w:before="11" w:line="275" w:lineRule="auto"/>
        <w:ind w:left="120"/>
        <w:rPr>
          <w:lang w:eastAsia="zh-TW"/>
        </w:rPr>
      </w:pPr>
      <w:r>
        <w:rPr>
          <w:lang w:eastAsia="zh-TW"/>
        </w:rPr>
        <w:t>五、掌握當前國際社會重要國際經貿發展趨勢與議題內容。</w:t>
      </w:r>
    </w:p>
    <w:p w:rsidR="00F0421B" w:rsidRDefault="00F0421B">
      <w:pPr>
        <w:spacing w:before="4"/>
        <w:rPr>
          <w:rFonts w:ascii="標楷體" w:eastAsia="標楷體" w:hAnsi="標楷體" w:cs="標楷體"/>
          <w:sz w:val="35"/>
          <w:szCs w:val="35"/>
          <w:lang w:eastAsia="zh-TW"/>
        </w:rPr>
      </w:pPr>
    </w:p>
    <w:p w:rsidR="00F0421B" w:rsidRDefault="0094121A">
      <w:pPr>
        <w:pStyle w:val="1"/>
        <w:rPr>
          <w:b w:val="0"/>
          <w:bCs w:val="0"/>
          <w:lang w:eastAsia="zh-TW"/>
        </w:rPr>
      </w:pPr>
      <w:r>
        <w:rPr>
          <w:lang w:eastAsia="zh-TW"/>
        </w:rPr>
        <w:t>參、課綱</w:t>
      </w:r>
    </w:p>
    <w:p w:rsidR="00F0421B" w:rsidRDefault="0094121A">
      <w:pPr>
        <w:pStyle w:val="a3"/>
        <w:spacing w:before="135" w:line="273" w:lineRule="auto"/>
        <w:ind w:right="116"/>
        <w:jc w:val="both"/>
        <w:rPr>
          <w:lang w:eastAsia="zh-TW"/>
        </w:rPr>
      </w:pPr>
      <w:r>
        <w:rPr>
          <w:lang w:eastAsia="zh-TW"/>
        </w:rPr>
        <w:t>依「律師專業領域進修暨證明請領實施</w:t>
      </w:r>
      <w:r>
        <w:rPr>
          <w:spacing w:val="1"/>
          <w:lang w:eastAsia="zh-TW"/>
        </w:rPr>
        <w:t>辦</w:t>
      </w:r>
      <w:r>
        <w:rPr>
          <w:lang w:eastAsia="zh-TW"/>
        </w:rPr>
        <w:t>法」第</w:t>
      </w:r>
      <w:r>
        <w:rPr>
          <w:spacing w:val="-46"/>
          <w:lang w:eastAsia="zh-TW"/>
        </w:rPr>
        <w:t xml:space="preserve"> </w:t>
      </w:r>
      <w:r>
        <w:rPr>
          <w:rFonts w:ascii="Times New Roman" w:eastAsia="Times New Roman" w:hAnsi="Times New Roman" w:cs="Times New Roman"/>
          <w:lang w:eastAsia="zh-TW"/>
        </w:rPr>
        <w:t>3</w:t>
      </w:r>
      <w:r>
        <w:rPr>
          <w:rFonts w:ascii="Times New Roman" w:eastAsia="Times New Roman" w:hAnsi="Times New Roman" w:cs="Times New Roman"/>
          <w:spacing w:val="-3"/>
          <w:lang w:eastAsia="zh-TW"/>
        </w:rPr>
        <w:t xml:space="preserve"> </w:t>
      </w:r>
      <w:r>
        <w:rPr>
          <w:lang w:eastAsia="zh-TW"/>
        </w:rPr>
        <w:t>條第</w:t>
      </w:r>
      <w:r>
        <w:rPr>
          <w:spacing w:val="-46"/>
          <w:lang w:eastAsia="zh-TW"/>
        </w:rPr>
        <w:t xml:space="preserve"> </w:t>
      </w:r>
      <w:r>
        <w:rPr>
          <w:rFonts w:ascii="Times New Roman" w:eastAsia="Times New Roman" w:hAnsi="Times New Roman" w:cs="Times New Roman"/>
          <w:lang w:eastAsia="zh-TW"/>
        </w:rPr>
        <w:t>2</w:t>
      </w:r>
      <w:r>
        <w:rPr>
          <w:rFonts w:ascii="Times New Roman" w:eastAsia="Times New Roman" w:hAnsi="Times New Roman" w:cs="Times New Roman"/>
          <w:spacing w:val="-3"/>
          <w:lang w:eastAsia="zh-TW"/>
        </w:rPr>
        <w:t xml:space="preserve"> </w:t>
      </w:r>
      <w:r>
        <w:rPr>
          <w:lang w:eastAsia="zh-TW"/>
        </w:rPr>
        <w:t>項</w:t>
      </w:r>
      <w:r>
        <w:rPr>
          <w:spacing w:val="-120"/>
          <w:lang w:eastAsia="zh-TW"/>
        </w:rPr>
        <w:t>：</w:t>
      </w:r>
      <w:r>
        <w:rPr>
          <w:lang w:eastAsia="zh-TW"/>
        </w:rPr>
        <w:t>「課綱應考量</w:t>
      </w:r>
      <w:r>
        <w:rPr>
          <w:lang w:eastAsia="zh-TW"/>
        </w:rPr>
        <w:t xml:space="preserve"> </w:t>
      </w:r>
      <w:r>
        <w:rPr>
          <w:spacing w:val="3"/>
          <w:lang w:eastAsia="zh-TW"/>
        </w:rPr>
        <w:t>該專業領域進修課程之專業性，秉持適度及彈性原則，為綱要性、方向性</w:t>
      </w:r>
      <w:r>
        <w:rPr>
          <w:spacing w:val="50"/>
          <w:lang w:eastAsia="zh-TW"/>
        </w:rPr>
        <w:t xml:space="preserve"> </w:t>
      </w:r>
      <w:r>
        <w:rPr>
          <w:lang w:eastAsia="zh-TW"/>
        </w:rPr>
        <w:t>之訂定</w:t>
      </w:r>
      <w:r>
        <w:rPr>
          <w:spacing w:val="-120"/>
          <w:lang w:eastAsia="zh-TW"/>
        </w:rPr>
        <w:t>」</w:t>
      </w:r>
      <w:r>
        <w:rPr>
          <w:lang w:eastAsia="zh-TW"/>
        </w:rPr>
        <w:t>，各課程之上課時數依具體開課情形而定。</w:t>
      </w:r>
    </w:p>
    <w:p w:rsidR="00600095" w:rsidRPr="00600095" w:rsidRDefault="00600095" w:rsidP="00600095">
      <w:pPr>
        <w:pStyle w:val="a3"/>
        <w:spacing w:before="135" w:line="273" w:lineRule="auto"/>
        <w:ind w:left="0" w:right="116"/>
        <w:jc w:val="both"/>
        <w:rPr>
          <w:rFonts w:hint="eastAsia"/>
          <w:b/>
          <w:lang w:eastAsia="zh-TW"/>
        </w:rPr>
      </w:pPr>
      <w:r w:rsidRPr="00600095">
        <w:rPr>
          <w:rFonts w:hint="eastAsia"/>
          <w:b/>
          <w:lang w:eastAsia="zh-TW"/>
        </w:rPr>
        <w:t>第一部分：基礎課程</w:t>
      </w:r>
    </w:p>
    <w:p w:rsidR="00F0421B" w:rsidRDefault="0094121A">
      <w:pPr>
        <w:pStyle w:val="1"/>
        <w:spacing w:before="12"/>
        <w:rPr>
          <w:b w:val="0"/>
          <w:bCs w:val="0"/>
          <w:lang w:eastAsia="zh-TW"/>
        </w:rPr>
      </w:pPr>
      <w:r>
        <w:rPr>
          <w:lang w:eastAsia="zh-TW"/>
        </w:rPr>
        <w:t>一、國際經貿法基礎理論</w:t>
      </w:r>
    </w:p>
    <w:p w:rsidR="00F0421B" w:rsidRDefault="0094121A">
      <w:pPr>
        <w:pStyle w:val="a3"/>
        <w:spacing w:before="46"/>
        <w:rPr>
          <w:lang w:eastAsia="zh-TW"/>
        </w:rPr>
      </w:pPr>
      <w:r>
        <w:rPr>
          <w:lang w:eastAsia="zh-TW"/>
        </w:rPr>
        <w:t>（一）國際貿易理論與政策</w:t>
      </w:r>
    </w:p>
    <w:p w:rsidR="00F0421B" w:rsidRDefault="0094121A">
      <w:pPr>
        <w:pStyle w:val="a3"/>
        <w:spacing w:before="46"/>
        <w:rPr>
          <w:lang w:eastAsia="zh-TW"/>
        </w:rPr>
      </w:pPr>
      <w:r>
        <w:rPr>
          <w:spacing w:val="-2"/>
          <w:lang w:eastAsia="zh-TW"/>
        </w:rPr>
        <w:t>（二）</w:t>
      </w:r>
      <w:r>
        <w:rPr>
          <w:rFonts w:ascii="Times New Roman" w:eastAsia="Times New Roman" w:hAnsi="Times New Roman" w:cs="Times New Roman"/>
          <w:spacing w:val="-2"/>
          <w:lang w:eastAsia="zh-TW"/>
        </w:rPr>
        <w:t>WTO</w:t>
      </w:r>
      <w:r>
        <w:rPr>
          <w:rFonts w:ascii="Times New Roman" w:eastAsia="Times New Roman" w:hAnsi="Times New Roman" w:cs="Times New Roman"/>
          <w:spacing w:val="-13"/>
          <w:lang w:eastAsia="zh-TW"/>
        </w:rPr>
        <w:t xml:space="preserve"> </w:t>
      </w:r>
      <w:r>
        <w:rPr>
          <w:lang w:eastAsia="zh-TW"/>
        </w:rPr>
        <w:t>概論</w:t>
      </w:r>
    </w:p>
    <w:p w:rsidR="00AA59C0" w:rsidRDefault="00AA59C0">
      <w:pPr>
        <w:pStyle w:val="a3"/>
        <w:spacing w:before="46"/>
        <w:rPr>
          <w:rFonts w:hint="eastAsia"/>
          <w:lang w:eastAsia="zh-TW"/>
        </w:rPr>
      </w:pPr>
    </w:p>
    <w:p w:rsidR="004A7040" w:rsidRDefault="0094121A">
      <w:pPr>
        <w:pStyle w:val="1"/>
        <w:spacing w:before="42" w:line="275" w:lineRule="auto"/>
        <w:ind w:left="686" w:right="123" w:hanging="567"/>
        <w:rPr>
          <w:lang w:eastAsia="zh-TW"/>
        </w:rPr>
      </w:pPr>
      <w:r>
        <w:rPr>
          <w:spacing w:val="2"/>
          <w:w w:val="95"/>
          <w:lang w:eastAsia="zh-TW"/>
        </w:rPr>
        <w:t>二、國際經貿法各論：此部分係以我國政府參與國際經貿組織及我國產業需求</w:t>
      </w:r>
      <w:r>
        <w:rPr>
          <w:lang w:eastAsia="zh-TW"/>
        </w:rPr>
        <w:t>為</w:t>
      </w:r>
    </w:p>
    <w:p w:rsidR="00F0421B" w:rsidRDefault="004A7040">
      <w:pPr>
        <w:pStyle w:val="1"/>
        <w:spacing w:before="42" w:line="275" w:lineRule="auto"/>
        <w:ind w:left="686" w:right="123" w:hanging="567"/>
        <w:rPr>
          <w:b w:val="0"/>
          <w:bCs w:val="0"/>
          <w:lang w:eastAsia="zh-TW"/>
        </w:rPr>
      </w:pPr>
      <w:r>
        <w:rPr>
          <w:rFonts w:hint="eastAsia"/>
          <w:spacing w:val="2"/>
          <w:w w:val="95"/>
          <w:lang w:eastAsia="zh-TW"/>
        </w:rPr>
        <w:t xml:space="preserve">    </w:t>
      </w:r>
      <w:r w:rsidR="0094121A">
        <w:rPr>
          <w:lang w:eastAsia="zh-TW"/>
        </w:rPr>
        <w:t>核</w:t>
      </w:r>
      <w:r w:rsidR="0094121A">
        <w:rPr>
          <w:lang w:eastAsia="zh-TW"/>
        </w:rPr>
        <w:t>心，對國際經貿法協定內容進行介紹，包括但不限於下列主題：</w:t>
      </w:r>
    </w:p>
    <w:p w:rsidR="00F0421B" w:rsidRDefault="0094121A">
      <w:pPr>
        <w:pStyle w:val="a3"/>
        <w:spacing w:before="11"/>
        <w:rPr>
          <w:lang w:eastAsia="zh-TW"/>
        </w:rPr>
      </w:pPr>
      <w:r>
        <w:rPr>
          <w:spacing w:val="-2"/>
          <w:lang w:eastAsia="zh-TW"/>
        </w:rPr>
        <w:t>（一）</w:t>
      </w:r>
      <w:r>
        <w:rPr>
          <w:rFonts w:ascii="Times New Roman" w:eastAsia="Times New Roman" w:hAnsi="Times New Roman" w:cs="Times New Roman"/>
          <w:spacing w:val="-2"/>
          <w:lang w:eastAsia="zh-TW"/>
        </w:rPr>
        <w:t>WTO</w:t>
      </w:r>
      <w:r>
        <w:rPr>
          <w:rFonts w:ascii="Times New Roman" w:eastAsia="Times New Roman" w:hAnsi="Times New Roman" w:cs="Times New Roman"/>
          <w:spacing w:val="-13"/>
          <w:lang w:eastAsia="zh-TW"/>
        </w:rPr>
        <w:t xml:space="preserve"> </w:t>
      </w:r>
      <w:r>
        <w:rPr>
          <w:lang w:eastAsia="zh-TW"/>
        </w:rPr>
        <w:t>爭端解決機制</w:t>
      </w:r>
    </w:p>
    <w:p w:rsidR="00F0421B" w:rsidRDefault="0094121A">
      <w:pPr>
        <w:pStyle w:val="a3"/>
        <w:spacing w:line="275" w:lineRule="auto"/>
        <w:ind w:left="1392" w:hanging="792"/>
        <w:rPr>
          <w:lang w:eastAsia="zh-TW"/>
        </w:rPr>
      </w:pPr>
      <w:r>
        <w:rPr>
          <w:spacing w:val="4"/>
          <w:lang w:eastAsia="zh-TW"/>
        </w:rPr>
        <w:t>（二）一九九四關稅及貿易總協定：關稅與數量限制、國民待遇、最惠國</w:t>
      </w:r>
      <w:r>
        <w:rPr>
          <w:spacing w:val="27"/>
          <w:lang w:eastAsia="zh-TW"/>
        </w:rPr>
        <w:t xml:space="preserve"> </w:t>
      </w:r>
      <w:r>
        <w:rPr>
          <w:lang w:eastAsia="zh-TW"/>
        </w:rPr>
        <w:t>待遇與優惠性貿易協定、例外條款等</w:t>
      </w:r>
    </w:p>
    <w:p w:rsidR="00F0421B" w:rsidRDefault="0094121A">
      <w:pPr>
        <w:pStyle w:val="a3"/>
        <w:spacing w:before="10"/>
        <w:rPr>
          <w:lang w:eastAsia="zh-TW"/>
        </w:rPr>
      </w:pPr>
      <w:r>
        <w:rPr>
          <w:lang w:eastAsia="zh-TW"/>
        </w:rPr>
        <w:t>（三）貿易救濟：反傾銷、反補貼、保障措施</w:t>
      </w:r>
    </w:p>
    <w:p w:rsidR="00F0421B" w:rsidRDefault="0094121A">
      <w:pPr>
        <w:pStyle w:val="a3"/>
        <w:spacing w:before="46"/>
        <w:rPr>
          <w:rFonts w:ascii="Times New Roman" w:eastAsia="Times New Roman" w:hAnsi="Times New Roman" w:cs="Times New Roman"/>
          <w:lang w:eastAsia="zh-TW"/>
        </w:rPr>
      </w:pPr>
      <w:r>
        <w:rPr>
          <w:lang w:eastAsia="zh-TW"/>
        </w:rPr>
        <w:t>（四）食品安全檢驗與動植物防疫檢疫協定</w:t>
      </w:r>
      <w:r>
        <w:rPr>
          <w:rFonts w:ascii="Times New Roman" w:eastAsia="Times New Roman" w:hAnsi="Times New Roman" w:cs="Times New Roman"/>
          <w:lang w:eastAsia="zh-TW"/>
        </w:rPr>
        <w:t>(SPS</w:t>
      </w:r>
      <w:r>
        <w:rPr>
          <w:rFonts w:ascii="Times New Roman" w:eastAsia="Times New Roman" w:hAnsi="Times New Roman" w:cs="Times New Roman"/>
          <w:spacing w:val="-11"/>
          <w:lang w:eastAsia="zh-TW"/>
        </w:rPr>
        <w:t xml:space="preserve"> </w:t>
      </w:r>
      <w:r>
        <w:rPr>
          <w:lang w:eastAsia="zh-TW"/>
        </w:rPr>
        <w:t>協定</w:t>
      </w:r>
      <w:r>
        <w:rPr>
          <w:rFonts w:ascii="Times New Roman" w:eastAsia="Times New Roman" w:hAnsi="Times New Roman" w:cs="Times New Roman"/>
          <w:lang w:eastAsia="zh-TW"/>
        </w:rPr>
        <w:t>)</w:t>
      </w:r>
    </w:p>
    <w:p w:rsidR="00F0421B" w:rsidRDefault="0094121A">
      <w:pPr>
        <w:pStyle w:val="a3"/>
        <w:rPr>
          <w:rFonts w:ascii="Times New Roman" w:eastAsia="Times New Roman" w:hAnsi="Times New Roman" w:cs="Times New Roman"/>
          <w:lang w:eastAsia="zh-TW"/>
        </w:rPr>
      </w:pPr>
      <w:r>
        <w:rPr>
          <w:spacing w:val="-1"/>
          <w:lang w:eastAsia="zh-TW"/>
        </w:rPr>
        <w:t>（五）技術性貿易障礙協定</w:t>
      </w:r>
      <w:r>
        <w:rPr>
          <w:rFonts w:ascii="Times New Roman" w:eastAsia="Times New Roman" w:hAnsi="Times New Roman" w:cs="Times New Roman"/>
          <w:spacing w:val="-1"/>
          <w:lang w:eastAsia="zh-TW"/>
        </w:rPr>
        <w:t>(TBT</w:t>
      </w:r>
      <w:r>
        <w:rPr>
          <w:rFonts w:ascii="Times New Roman" w:eastAsia="Times New Roman" w:hAnsi="Times New Roman" w:cs="Times New Roman"/>
          <w:spacing w:val="-12"/>
          <w:lang w:eastAsia="zh-TW"/>
        </w:rPr>
        <w:t xml:space="preserve"> </w:t>
      </w:r>
      <w:r>
        <w:rPr>
          <w:lang w:eastAsia="zh-TW"/>
        </w:rPr>
        <w:t>協定</w:t>
      </w:r>
      <w:r>
        <w:rPr>
          <w:rFonts w:ascii="Times New Roman" w:eastAsia="Times New Roman" w:hAnsi="Times New Roman" w:cs="Times New Roman"/>
          <w:lang w:eastAsia="zh-TW"/>
        </w:rPr>
        <w:t>)</w:t>
      </w:r>
    </w:p>
    <w:p w:rsidR="00F0421B" w:rsidRDefault="0094121A">
      <w:pPr>
        <w:pStyle w:val="a3"/>
        <w:rPr>
          <w:rFonts w:ascii="Times New Roman" w:eastAsia="Times New Roman" w:hAnsi="Times New Roman" w:cs="Times New Roman"/>
          <w:lang w:eastAsia="zh-TW"/>
        </w:rPr>
      </w:pPr>
      <w:r>
        <w:rPr>
          <w:lang w:eastAsia="zh-TW"/>
        </w:rPr>
        <w:lastRenderedPageBreak/>
        <w:t>（六）服務貿易總協定</w:t>
      </w:r>
      <w:r>
        <w:rPr>
          <w:rFonts w:ascii="Times New Roman" w:eastAsia="Times New Roman" w:hAnsi="Times New Roman" w:cs="Times New Roman"/>
          <w:lang w:eastAsia="zh-TW"/>
        </w:rPr>
        <w:t>(</w:t>
      </w:r>
      <w:r>
        <w:rPr>
          <w:rFonts w:ascii="Times New Roman" w:eastAsia="Times New Roman" w:hAnsi="Times New Roman" w:cs="Times New Roman"/>
          <w:spacing w:val="-2"/>
          <w:lang w:eastAsia="zh-TW"/>
        </w:rPr>
        <w:t>G</w:t>
      </w:r>
      <w:r>
        <w:rPr>
          <w:rFonts w:ascii="Times New Roman" w:eastAsia="Times New Roman" w:hAnsi="Times New Roman" w:cs="Times New Roman"/>
          <w:spacing w:val="-27"/>
          <w:lang w:eastAsia="zh-TW"/>
        </w:rPr>
        <w:t>A</w:t>
      </w:r>
      <w:r>
        <w:rPr>
          <w:rFonts w:ascii="Times New Roman" w:eastAsia="Times New Roman" w:hAnsi="Times New Roman" w:cs="Times New Roman"/>
          <w:lang w:eastAsia="zh-TW"/>
        </w:rPr>
        <w:t>TS</w:t>
      </w:r>
      <w:r>
        <w:rPr>
          <w:rFonts w:ascii="Times New Roman" w:eastAsia="Times New Roman" w:hAnsi="Times New Roman" w:cs="Times New Roman"/>
          <w:spacing w:val="-12"/>
          <w:lang w:eastAsia="zh-TW"/>
        </w:rPr>
        <w:t xml:space="preserve"> </w:t>
      </w:r>
      <w:r>
        <w:rPr>
          <w:lang w:eastAsia="zh-TW"/>
        </w:rPr>
        <w:t>協定</w:t>
      </w:r>
      <w:r>
        <w:rPr>
          <w:rFonts w:ascii="Times New Roman" w:eastAsia="Times New Roman" w:hAnsi="Times New Roman" w:cs="Times New Roman"/>
          <w:lang w:eastAsia="zh-TW"/>
        </w:rPr>
        <w:t>)</w:t>
      </w:r>
    </w:p>
    <w:p w:rsidR="00600095" w:rsidRDefault="0094121A" w:rsidP="00600095">
      <w:pPr>
        <w:pStyle w:val="a3"/>
        <w:spacing w:before="41"/>
        <w:rPr>
          <w:rFonts w:ascii="Times New Roman" w:eastAsia="Times New Roman" w:hAnsi="Times New Roman" w:cs="Times New Roman"/>
          <w:lang w:eastAsia="zh-TW"/>
        </w:rPr>
      </w:pPr>
      <w:r>
        <w:rPr>
          <w:spacing w:val="-1"/>
          <w:lang w:eastAsia="zh-TW"/>
        </w:rPr>
        <w:t>（七）與貿易有關之智慧財產權協定</w:t>
      </w:r>
      <w:r>
        <w:rPr>
          <w:rFonts w:ascii="Times New Roman" w:eastAsia="Times New Roman" w:hAnsi="Times New Roman" w:cs="Times New Roman"/>
          <w:spacing w:val="-1"/>
          <w:lang w:eastAsia="zh-TW"/>
        </w:rPr>
        <w:t>(TRIPS</w:t>
      </w:r>
      <w:r>
        <w:rPr>
          <w:rFonts w:ascii="Times New Roman" w:eastAsia="Times New Roman" w:hAnsi="Times New Roman" w:cs="Times New Roman"/>
          <w:spacing w:val="-11"/>
          <w:lang w:eastAsia="zh-TW"/>
        </w:rPr>
        <w:t xml:space="preserve"> </w:t>
      </w:r>
      <w:r>
        <w:rPr>
          <w:lang w:eastAsia="zh-TW"/>
        </w:rPr>
        <w:t>協定</w:t>
      </w:r>
      <w:r>
        <w:rPr>
          <w:rFonts w:ascii="Times New Roman" w:eastAsia="Times New Roman" w:hAnsi="Times New Roman" w:cs="Times New Roman"/>
          <w:lang w:eastAsia="zh-TW"/>
        </w:rPr>
        <w:t>)</w:t>
      </w:r>
    </w:p>
    <w:p w:rsidR="00F0421B" w:rsidRDefault="0094121A" w:rsidP="00600095">
      <w:pPr>
        <w:pStyle w:val="a3"/>
        <w:spacing w:before="41"/>
        <w:rPr>
          <w:lang w:eastAsia="zh-TW"/>
        </w:rPr>
      </w:pPr>
      <w:r>
        <w:rPr>
          <w:lang w:eastAsia="zh-TW"/>
        </w:rPr>
        <w:t>（</w:t>
      </w:r>
      <w:r>
        <w:rPr>
          <w:lang w:eastAsia="zh-TW"/>
        </w:rPr>
        <w:t>八）漁業補貼協定</w:t>
      </w:r>
    </w:p>
    <w:p w:rsidR="00C775B9" w:rsidRDefault="00600095" w:rsidP="00C775B9">
      <w:pPr>
        <w:pStyle w:val="a3"/>
        <w:spacing w:before="41"/>
        <w:jc w:val="both"/>
        <w:rPr>
          <w:lang w:eastAsia="zh-TW"/>
        </w:rPr>
      </w:pPr>
      <w:r w:rsidRPr="00AA59C0">
        <w:rPr>
          <w:spacing w:val="3"/>
          <w:fitText w:val="7200" w:id="-879528960"/>
          <w:lang w:eastAsia="zh-TW"/>
        </w:rPr>
        <w:t>（</w:t>
      </w:r>
      <w:r w:rsidRPr="00AA59C0">
        <w:rPr>
          <w:rFonts w:hint="eastAsia"/>
          <w:spacing w:val="3"/>
          <w:fitText w:val="7200" w:id="-879528960"/>
          <w:lang w:eastAsia="zh-TW"/>
        </w:rPr>
        <w:t>九</w:t>
      </w:r>
      <w:r w:rsidRPr="00AA59C0">
        <w:rPr>
          <w:spacing w:val="3"/>
          <w:fitText w:val="7200" w:id="-879528960"/>
          <w:lang w:eastAsia="zh-TW"/>
        </w:rPr>
        <w:t>）</w:t>
      </w:r>
      <w:r w:rsidRPr="00AA59C0">
        <w:rPr>
          <w:rFonts w:hint="eastAsia"/>
          <w:spacing w:val="3"/>
          <w:fitText w:val="7200" w:id="-879528960"/>
          <w:lang w:eastAsia="zh-TW"/>
        </w:rPr>
        <w:t>區域性貿易協定簡介（</w:t>
      </w:r>
      <w:r w:rsidRPr="00AA59C0">
        <w:rPr>
          <w:rFonts w:ascii="新細明體" w:eastAsia="新細明體" w:hAnsi="新細明體" w:hint="eastAsia"/>
          <w:spacing w:val="3"/>
          <w:fitText w:val="7200" w:id="-879528960"/>
          <w:lang w:eastAsia="zh-TW"/>
        </w:rPr>
        <w:t>「</w:t>
      </w:r>
      <w:r w:rsidRPr="00AA59C0">
        <w:rPr>
          <w:rFonts w:hint="eastAsia"/>
          <w:spacing w:val="3"/>
          <w:fitText w:val="7200" w:id="-879528960"/>
          <w:lang w:eastAsia="zh-TW"/>
        </w:rPr>
        <w:t>跨太平洋夥伴協定</w:t>
      </w:r>
      <w:r w:rsidRPr="00AA59C0">
        <w:rPr>
          <w:rFonts w:ascii="新細明體" w:eastAsia="新細明體" w:hAnsi="新細明體" w:hint="eastAsia"/>
          <w:spacing w:val="3"/>
          <w:fitText w:val="7200" w:id="-879528960"/>
          <w:lang w:eastAsia="zh-TW"/>
        </w:rPr>
        <w:t>」</w:t>
      </w:r>
      <w:r w:rsidRPr="00AA59C0">
        <w:rPr>
          <w:rFonts w:hint="eastAsia"/>
          <w:spacing w:val="3"/>
          <w:fitText w:val="7200" w:id="-879528960"/>
          <w:lang w:eastAsia="zh-TW"/>
        </w:rPr>
        <w:t>(</w:t>
      </w:r>
      <w:r w:rsidRPr="00AA59C0">
        <w:rPr>
          <w:spacing w:val="3"/>
          <w:fitText w:val="7200" w:id="-879528960"/>
          <w:lang w:eastAsia="zh-TW"/>
        </w:rPr>
        <w:t>Trans-</w:t>
      </w:r>
      <w:r w:rsidRPr="00AA59C0">
        <w:rPr>
          <w:rFonts w:hint="eastAsia"/>
          <w:spacing w:val="3"/>
          <w:fitText w:val="7200" w:id="-879528960"/>
          <w:lang w:eastAsia="zh-TW"/>
        </w:rPr>
        <w:t>a</w:t>
      </w:r>
      <w:r w:rsidRPr="00AA59C0">
        <w:rPr>
          <w:spacing w:val="3"/>
          <w:fitText w:val="7200" w:id="-879528960"/>
          <w:lang w:eastAsia="zh-TW"/>
        </w:rPr>
        <w:t>cifi</w:t>
      </w:r>
      <w:r w:rsidRPr="00AA59C0">
        <w:rPr>
          <w:spacing w:val="15"/>
          <w:fitText w:val="7200" w:id="-879528960"/>
          <w:lang w:eastAsia="zh-TW"/>
        </w:rPr>
        <w:t>c</w:t>
      </w:r>
    </w:p>
    <w:p w:rsidR="00600095" w:rsidRDefault="00C775B9" w:rsidP="00600095">
      <w:pPr>
        <w:pStyle w:val="a3"/>
        <w:spacing w:before="41"/>
        <w:rPr>
          <w:lang w:eastAsia="zh-TW"/>
        </w:rPr>
      </w:pPr>
      <w:r>
        <w:rPr>
          <w:rFonts w:hint="eastAsia"/>
          <w:lang w:eastAsia="zh-TW"/>
        </w:rPr>
        <w:t xml:space="preserve">      </w:t>
      </w:r>
      <w:r w:rsidR="00600095">
        <w:rPr>
          <w:rFonts w:hint="eastAsia"/>
          <w:lang w:eastAsia="zh-TW"/>
        </w:rPr>
        <w:t>a</w:t>
      </w:r>
      <w:r w:rsidR="00600095">
        <w:rPr>
          <w:lang w:eastAsia="zh-TW"/>
        </w:rPr>
        <w:t>rtnership</w:t>
      </w:r>
      <w:r w:rsidR="00600095">
        <w:rPr>
          <w:rFonts w:hint="eastAsia"/>
          <w:lang w:eastAsia="zh-TW"/>
        </w:rPr>
        <w:t>,T</w:t>
      </w:r>
      <w:r w:rsidR="00600095">
        <w:rPr>
          <w:lang w:eastAsia="zh-TW"/>
        </w:rPr>
        <w:t>PP)</w:t>
      </w:r>
      <w:r w:rsidR="00600095">
        <w:rPr>
          <w:rFonts w:hint="eastAsia"/>
          <w:lang w:eastAsia="zh-TW"/>
        </w:rPr>
        <w:t>等</w:t>
      </w:r>
      <w:r w:rsidR="00600095">
        <w:rPr>
          <w:lang w:eastAsia="zh-TW"/>
        </w:rPr>
        <w:t>）</w:t>
      </w:r>
    </w:p>
    <w:p w:rsidR="00AA59C0" w:rsidRDefault="00AA59C0" w:rsidP="00600095">
      <w:pPr>
        <w:pStyle w:val="a3"/>
        <w:spacing w:before="41"/>
        <w:rPr>
          <w:rFonts w:hint="eastAsia"/>
          <w:lang w:eastAsia="zh-TW"/>
        </w:rPr>
      </w:pPr>
    </w:p>
    <w:p w:rsidR="00FE2642" w:rsidRDefault="0094121A">
      <w:pPr>
        <w:spacing w:line="272" w:lineRule="auto"/>
        <w:ind w:left="545" w:right="114" w:hanging="425"/>
        <w:rPr>
          <w:rFonts w:ascii="標楷體" w:eastAsia="標楷體" w:hAnsi="標楷體" w:cs="標楷體"/>
          <w:b/>
          <w:bCs/>
          <w:sz w:val="24"/>
          <w:szCs w:val="24"/>
          <w:lang w:eastAsia="zh-TW"/>
        </w:rPr>
      </w:pPr>
      <w:r>
        <w:rPr>
          <w:rFonts w:ascii="標楷體" w:eastAsia="標楷體" w:hAnsi="標楷體" w:cs="標楷體"/>
          <w:b/>
          <w:bCs/>
          <w:spacing w:val="2"/>
          <w:w w:val="95"/>
          <w:sz w:val="24"/>
          <w:szCs w:val="24"/>
          <w:lang w:eastAsia="zh-TW"/>
        </w:rPr>
        <w:t>三、國際企業經營法律風險與因應策略各論：此部分係以我國參與國際商務之</w:t>
      </w:r>
      <w:r>
        <w:rPr>
          <w:rFonts w:ascii="標楷體" w:eastAsia="標楷體" w:hAnsi="標楷體" w:cs="標楷體"/>
          <w:b/>
          <w:bCs/>
          <w:spacing w:val="4"/>
          <w:w w:val="95"/>
          <w:sz w:val="24"/>
          <w:szCs w:val="24"/>
          <w:lang w:eastAsia="zh-TW"/>
        </w:rPr>
        <w:t>各類企業需求為核心，對國際企業經營法律風險與因應策略進行介紹，包</w:t>
      </w:r>
      <w:r>
        <w:rPr>
          <w:rFonts w:ascii="標楷體" w:eastAsia="標楷體" w:hAnsi="標楷體" w:cs="標楷體"/>
          <w:b/>
          <w:bCs/>
          <w:sz w:val="24"/>
          <w:szCs w:val="24"/>
          <w:lang w:eastAsia="zh-TW"/>
        </w:rPr>
        <w:t>括但不限於下列主題：</w:t>
      </w:r>
    </w:p>
    <w:p w:rsidR="00FE2642" w:rsidRDefault="00FE2642">
      <w:pPr>
        <w:spacing w:line="272" w:lineRule="auto"/>
        <w:ind w:left="545" w:right="114" w:hanging="425"/>
        <w:rPr>
          <w:rFonts w:ascii="標楷體" w:eastAsia="標楷體" w:hAnsi="標楷體" w:cs="標楷體"/>
          <w:sz w:val="24"/>
          <w:szCs w:val="24"/>
          <w:lang w:eastAsia="zh-TW"/>
        </w:rPr>
      </w:pPr>
      <w:r>
        <w:rPr>
          <w:rFonts w:ascii="標楷體" w:eastAsia="標楷體" w:hAnsi="標楷體" w:cs="標楷體" w:hint="eastAsia"/>
          <w:b/>
          <w:bCs/>
          <w:spacing w:val="2"/>
          <w:w w:val="95"/>
          <w:sz w:val="24"/>
          <w:szCs w:val="24"/>
          <w:lang w:eastAsia="zh-TW"/>
        </w:rPr>
        <w:t xml:space="preserve">  </w:t>
      </w:r>
      <w:r w:rsidR="0094121A">
        <w:rPr>
          <w:rFonts w:ascii="標楷體" w:eastAsia="標楷體" w:hAnsi="標楷體" w:cs="標楷體"/>
          <w:b/>
          <w:bCs/>
          <w:spacing w:val="22"/>
          <w:w w:val="99"/>
          <w:sz w:val="24"/>
          <w:szCs w:val="24"/>
          <w:lang w:eastAsia="zh-TW"/>
        </w:rPr>
        <w:t xml:space="preserve"> </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一</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國際企業經營法規環境：世界貿易組織與國際經貿法基本原則</w:t>
      </w:r>
      <w:r w:rsidR="0094121A">
        <w:rPr>
          <w:rFonts w:ascii="標楷體" w:eastAsia="標楷體" w:hAnsi="標楷體" w:cs="標楷體"/>
          <w:sz w:val="24"/>
          <w:szCs w:val="24"/>
          <w:lang w:eastAsia="zh-TW"/>
        </w:rPr>
        <w:t xml:space="preserve"> </w:t>
      </w:r>
    </w:p>
    <w:p w:rsidR="00FE2642" w:rsidRDefault="00FE2642">
      <w:pPr>
        <w:spacing w:line="272" w:lineRule="auto"/>
        <w:ind w:left="545" w:right="114" w:hanging="425"/>
        <w:rPr>
          <w:rFonts w:ascii="標楷體" w:eastAsia="標楷體" w:hAnsi="標楷體" w:cs="標楷體"/>
          <w:sz w:val="24"/>
          <w:szCs w:val="24"/>
          <w:lang w:eastAsia="zh-TW"/>
        </w:rPr>
      </w:pPr>
      <w:r>
        <w:rPr>
          <w:rFonts w:ascii="標楷體" w:eastAsia="標楷體" w:hAnsi="標楷體" w:cs="標楷體" w:hint="eastAsia"/>
          <w:sz w:val="24"/>
          <w:szCs w:val="24"/>
          <w:lang w:eastAsia="zh-TW"/>
        </w:rPr>
        <w:t xml:space="preserve">   </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二</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國際商務談判與國際商務契約</w:t>
      </w:r>
      <w:r w:rsidR="0094121A">
        <w:rPr>
          <w:rFonts w:ascii="標楷體" w:eastAsia="標楷體" w:hAnsi="標楷體" w:cs="標楷體"/>
          <w:sz w:val="24"/>
          <w:szCs w:val="24"/>
          <w:lang w:eastAsia="zh-TW"/>
        </w:rPr>
        <w:t xml:space="preserve"> </w:t>
      </w:r>
    </w:p>
    <w:p w:rsidR="00FE2642" w:rsidRDefault="00FE2642">
      <w:pPr>
        <w:spacing w:line="272" w:lineRule="auto"/>
        <w:ind w:left="545" w:right="114" w:hanging="425"/>
        <w:rPr>
          <w:rFonts w:ascii="標楷體" w:eastAsia="標楷體" w:hAnsi="標楷體" w:cs="標楷體"/>
          <w:sz w:val="24"/>
          <w:szCs w:val="24"/>
          <w:lang w:eastAsia="zh-TW"/>
        </w:rPr>
      </w:pPr>
      <w:r>
        <w:rPr>
          <w:rFonts w:ascii="標楷體" w:eastAsia="標楷體" w:hAnsi="標楷體" w:cs="標楷體" w:hint="eastAsia"/>
          <w:sz w:val="24"/>
          <w:szCs w:val="24"/>
          <w:lang w:eastAsia="zh-TW"/>
        </w:rPr>
        <w:t xml:space="preserve">   </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三</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跨國企業與金融犯罪風險：洗錢防制、制裁及反貪污賄賂</w:t>
      </w:r>
      <w:r w:rsidR="0094121A">
        <w:rPr>
          <w:rFonts w:ascii="標楷體" w:eastAsia="標楷體" w:hAnsi="標楷體" w:cs="標楷體"/>
          <w:sz w:val="24"/>
          <w:szCs w:val="24"/>
          <w:lang w:eastAsia="zh-TW"/>
        </w:rPr>
        <w:t xml:space="preserve"> </w:t>
      </w:r>
    </w:p>
    <w:p w:rsidR="00FE2642" w:rsidRDefault="00FE2642">
      <w:pPr>
        <w:spacing w:line="272" w:lineRule="auto"/>
        <w:ind w:left="545" w:right="114" w:hanging="425"/>
        <w:rPr>
          <w:rFonts w:ascii="標楷體" w:eastAsia="標楷體" w:hAnsi="標楷體" w:cs="標楷體"/>
          <w:sz w:val="24"/>
          <w:szCs w:val="24"/>
          <w:lang w:eastAsia="zh-TW"/>
        </w:rPr>
      </w:pPr>
      <w:r>
        <w:rPr>
          <w:rFonts w:ascii="標楷體" w:eastAsia="標楷體" w:hAnsi="標楷體" w:cs="標楷體" w:hint="eastAsia"/>
          <w:sz w:val="24"/>
          <w:szCs w:val="24"/>
          <w:lang w:eastAsia="zh-TW"/>
        </w:rPr>
        <w:t xml:space="preserve">   </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四</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跨國商務之法律適用與紛爭處理</w:t>
      </w:r>
      <w:r w:rsidR="0094121A">
        <w:rPr>
          <w:rFonts w:ascii="標楷體" w:eastAsia="標楷體" w:hAnsi="標楷體" w:cs="標楷體"/>
          <w:sz w:val="24"/>
          <w:szCs w:val="24"/>
          <w:lang w:eastAsia="zh-TW"/>
        </w:rPr>
        <w:t xml:space="preserve"> </w:t>
      </w:r>
    </w:p>
    <w:p w:rsidR="00FE2642" w:rsidRDefault="00FE2642">
      <w:pPr>
        <w:spacing w:line="272" w:lineRule="auto"/>
        <w:ind w:left="545" w:right="114" w:hanging="425"/>
        <w:rPr>
          <w:rFonts w:ascii="標楷體" w:eastAsia="標楷體" w:hAnsi="標楷體" w:cs="標楷體"/>
          <w:sz w:val="24"/>
          <w:szCs w:val="24"/>
          <w:lang w:eastAsia="zh-TW"/>
        </w:rPr>
      </w:pPr>
      <w:r>
        <w:rPr>
          <w:rFonts w:ascii="標楷體" w:eastAsia="標楷體" w:hAnsi="標楷體" w:cs="標楷體" w:hint="eastAsia"/>
          <w:sz w:val="24"/>
          <w:szCs w:val="24"/>
          <w:lang w:eastAsia="zh-TW"/>
        </w:rPr>
        <w:t xml:space="preserve">   </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五</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從民事程序法觀點分析國際企業經營之法律風險</w:t>
      </w:r>
      <w:r w:rsidR="0094121A">
        <w:rPr>
          <w:rFonts w:ascii="標楷體" w:eastAsia="標楷體" w:hAnsi="標楷體" w:cs="標楷體"/>
          <w:sz w:val="24"/>
          <w:szCs w:val="24"/>
          <w:lang w:eastAsia="zh-TW"/>
        </w:rPr>
        <w:t xml:space="preserve"> </w:t>
      </w:r>
    </w:p>
    <w:p w:rsidR="00FE2642" w:rsidRDefault="00FE2642">
      <w:pPr>
        <w:spacing w:line="272" w:lineRule="auto"/>
        <w:ind w:left="545" w:right="114" w:hanging="425"/>
        <w:rPr>
          <w:rFonts w:ascii="標楷體" w:eastAsia="標楷體" w:hAnsi="標楷體" w:cs="標楷體"/>
          <w:sz w:val="24"/>
          <w:szCs w:val="24"/>
          <w:lang w:eastAsia="zh-TW"/>
        </w:rPr>
      </w:pPr>
      <w:r>
        <w:rPr>
          <w:rFonts w:ascii="標楷體" w:eastAsia="標楷體" w:hAnsi="標楷體" w:cs="標楷體" w:hint="eastAsia"/>
          <w:sz w:val="24"/>
          <w:szCs w:val="24"/>
          <w:lang w:eastAsia="zh-TW"/>
        </w:rPr>
        <w:t xml:space="preserve">   </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六</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跨境商務之法遵風險</w:t>
      </w:r>
      <w:r w:rsidR="0094121A">
        <w:rPr>
          <w:rFonts w:ascii="標楷體" w:eastAsia="標楷體" w:hAnsi="標楷體" w:cs="標楷體"/>
          <w:sz w:val="24"/>
          <w:szCs w:val="24"/>
          <w:lang w:eastAsia="zh-TW"/>
        </w:rPr>
        <w:t>—</w:t>
      </w:r>
      <w:r w:rsidR="0094121A">
        <w:rPr>
          <w:rFonts w:ascii="標楷體" w:eastAsia="標楷體" w:hAnsi="標楷體" w:cs="標楷體"/>
          <w:sz w:val="24"/>
          <w:szCs w:val="24"/>
          <w:lang w:eastAsia="zh-TW"/>
        </w:rPr>
        <w:t>比較全球主要經濟體之個資隱私規範</w:t>
      </w:r>
      <w:r w:rsidR="0094121A">
        <w:rPr>
          <w:rFonts w:ascii="標楷體" w:eastAsia="標楷體" w:hAnsi="標楷體" w:cs="標楷體"/>
          <w:sz w:val="24"/>
          <w:szCs w:val="24"/>
          <w:lang w:eastAsia="zh-TW"/>
        </w:rPr>
        <w:t xml:space="preserve"> </w:t>
      </w:r>
    </w:p>
    <w:p w:rsidR="00FE2642" w:rsidRDefault="00FE2642">
      <w:pPr>
        <w:spacing w:line="272" w:lineRule="auto"/>
        <w:ind w:left="545" w:right="114" w:hanging="425"/>
        <w:rPr>
          <w:rFonts w:ascii="Times New Roman" w:eastAsia="Times New Roman" w:hAnsi="Times New Roman" w:cs="Times New Roman"/>
          <w:spacing w:val="56"/>
          <w:sz w:val="24"/>
          <w:szCs w:val="24"/>
          <w:lang w:eastAsia="zh-TW"/>
        </w:rPr>
      </w:pPr>
      <w:r>
        <w:rPr>
          <w:rFonts w:ascii="標楷體" w:eastAsia="標楷體" w:hAnsi="標楷體" w:cs="標楷體" w:hint="eastAsia"/>
          <w:sz w:val="24"/>
          <w:szCs w:val="24"/>
          <w:lang w:eastAsia="zh-TW"/>
        </w:rPr>
        <w:t xml:space="preserve">   </w:t>
      </w:r>
      <w:r w:rsidR="0094121A">
        <w:rPr>
          <w:rFonts w:ascii="Times New Roman" w:eastAsia="Times New Roman" w:hAnsi="Times New Roman" w:cs="Times New Roman"/>
          <w:spacing w:val="-1"/>
          <w:sz w:val="24"/>
          <w:szCs w:val="24"/>
          <w:lang w:eastAsia="zh-TW"/>
        </w:rPr>
        <w:t>(</w:t>
      </w:r>
      <w:r w:rsidR="0094121A">
        <w:rPr>
          <w:rFonts w:ascii="標楷體" w:eastAsia="標楷體" w:hAnsi="標楷體" w:cs="標楷體"/>
          <w:spacing w:val="-1"/>
          <w:sz w:val="24"/>
          <w:szCs w:val="24"/>
          <w:lang w:eastAsia="zh-TW"/>
        </w:rPr>
        <w:t>七</w:t>
      </w:r>
      <w:r w:rsidR="0094121A">
        <w:rPr>
          <w:rFonts w:ascii="Times New Roman" w:eastAsia="Times New Roman" w:hAnsi="Times New Roman" w:cs="Times New Roman"/>
          <w:spacing w:val="-1"/>
          <w:sz w:val="24"/>
          <w:szCs w:val="24"/>
          <w:lang w:eastAsia="zh-TW"/>
        </w:rPr>
        <w:t>)</w:t>
      </w:r>
      <w:r w:rsidR="0094121A">
        <w:rPr>
          <w:rFonts w:ascii="標楷體" w:eastAsia="標楷體" w:hAnsi="標楷體" w:cs="標楷體"/>
          <w:spacing w:val="-1"/>
          <w:sz w:val="24"/>
          <w:szCs w:val="24"/>
          <w:lang w:eastAsia="zh-TW"/>
        </w:rPr>
        <w:t>跨國經營商務之隱私與個人資料保護</w:t>
      </w:r>
      <w:r w:rsidR="0094121A">
        <w:rPr>
          <w:rFonts w:ascii="標楷體" w:eastAsia="標楷體" w:hAnsi="標楷體" w:cs="標楷體"/>
          <w:spacing w:val="-1"/>
          <w:sz w:val="24"/>
          <w:szCs w:val="24"/>
          <w:lang w:eastAsia="zh-TW"/>
        </w:rPr>
        <w:t>—</w:t>
      </w:r>
      <w:r w:rsidR="0094121A">
        <w:rPr>
          <w:rFonts w:ascii="Times New Roman" w:eastAsia="Times New Roman" w:hAnsi="Times New Roman" w:cs="Times New Roman"/>
          <w:spacing w:val="-1"/>
          <w:sz w:val="24"/>
          <w:szCs w:val="24"/>
          <w:lang w:eastAsia="zh-TW"/>
        </w:rPr>
        <w:t>GDPR</w:t>
      </w:r>
      <w:r w:rsidR="0094121A">
        <w:rPr>
          <w:rFonts w:ascii="標楷體" w:eastAsia="標楷體" w:hAnsi="標楷體" w:cs="標楷體"/>
          <w:spacing w:val="-1"/>
          <w:sz w:val="24"/>
          <w:szCs w:val="24"/>
          <w:lang w:eastAsia="zh-TW"/>
        </w:rPr>
        <w:t>＆</w:t>
      </w:r>
      <w:r w:rsidR="0094121A">
        <w:rPr>
          <w:rFonts w:ascii="Times New Roman" w:eastAsia="Times New Roman" w:hAnsi="Times New Roman" w:cs="Times New Roman"/>
          <w:spacing w:val="-1"/>
          <w:sz w:val="24"/>
          <w:szCs w:val="24"/>
          <w:lang w:eastAsia="zh-TW"/>
        </w:rPr>
        <w:t>CBPR</w:t>
      </w:r>
      <w:r w:rsidR="0094121A">
        <w:rPr>
          <w:rFonts w:ascii="Times New Roman" w:eastAsia="Times New Roman" w:hAnsi="Times New Roman" w:cs="Times New Roman"/>
          <w:spacing w:val="56"/>
          <w:sz w:val="24"/>
          <w:szCs w:val="24"/>
          <w:lang w:eastAsia="zh-TW"/>
        </w:rPr>
        <w:t xml:space="preserve"> </w:t>
      </w:r>
    </w:p>
    <w:p w:rsidR="00F0421B" w:rsidRDefault="00FE2642">
      <w:pPr>
        <w:spacing w:line="272" w:lineRule="auto"/>
        <w:ind w:left="545" w:right="114" w:hanging="425"/>
        <w:rPr>
          <w:rFonts w:ascii="標楷體" w:eastAsia="標楷體" w:hAnsi="標楷體" w:cs="標楷體"/>
          <w:sz w:val="24"/>
          <w:szCs w:val="24"/>
          <w:lang w:eastAsia="zh-TW"/>
        </w:rPr>
      </w:pPr>
      <w:r>
        <w:rPr>
          <w:rFonts w:asciiTheme="minorEastAsia" w:hAnsiTheme="minorEastAsia" w:cs="Times New Roman" w:hint="eastAsia"/>
          <w:spacing w:val="56"/>
          <w:sz w:val="24"/>
          <w:szCs w:val="24"/>
          <w:lang w:eastAsia="zh-TW"/>
        </w:rPr>
        <w:t xml:space="preserve">   </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八</w:t>
      </w:r>
      <w:r w:rsidR="0094121A">
        <w:rPr>
          <w:rFonts w:ascii="Times New Roman" w:eastAsia="Times New Roman" w:hAnsi="Times New Roman" w:cs="Times New Roman"/>
          <w:sz w:val="24"/>
          <w:szCs w:val="24"/>
          <w:lang w:eastAsia="zh-TW"/>
        </w:rPr>
        <w:t>)</w:t>
      </w:r>
      <w:r w:rsidR="0094121A">
        <w:rPr>
          <w:rFonts w:ascii="標楷體" w:eastAsia="標楷體" w:hAnsi="標楷體" w:cs="標楷體"/>
          <w:sz w:val="24"/>
          <w:szCs w:val="24"/>
          <w:lang w:eastAsia="zh-TW"/>
        </w:rPr>
        <w:t>企業跨國併購的風險與挑戰</w:t>
      </w:r>
    </w:p>
    <w:p w:rsidR="00FE2642" w:rsidRDefault="00FE2642" w:rsidP="00FE2642">
      <w:pPr>
        <w:spacing w:line="272" w:lineRule="auto"/>
        <w:ind w:left="545" w:right="114" w:hanging="425"/>
        <w:rPr>
          <w:rFonts w:ascii="標楷體" w:eastAsia="標楷體" w:hAnsi="標楷體"/>
          <w:sz w:val="24"/>
          <w:szCs w:val="24"/>
          <w:lang w:eastAsia="zh-TW"/>
        </w:rPr>
      </w:pPr>
      <w:r>
        <w:rPr>
          <w:rFonts w:ascii="標楷體" w:eastAsia="標楷體" w:hAnsi="標楷體" w:cs="標楷體" w:hint="eastAsia"/>
          <w:sz w:val="24"/>
          <w:szCs w:val="24"/>
          <w:lang w:eastAsia="zh-TW"/>
        </w:rPr>
        <w:t xml:space="preserve">   </w:t>
      </w:r>
      <w:r w:rsidR="0094121A" w:rsidRPr="00FE2642">
        <w:rPr>
          <w:rFonts w:ascii="標楷體" w:eastAsia="標楷體" w:hAnsi="標楷體" w:cs="Times New Roman"/>
          <w:sz w:val="24"/>
          <w:szCs w:val="24"/>
          <w:lang w:eastAsia="zh-TW"/>
        </w:rPr>
        <w:t>(</w:t>
      </w:r>
      <w:r w:rsidR="0094121A" w:rsidRPr="00FE2642">
        <w:rPr>
          <w:rFonts w:ascii="標楷體" w:eastAsia="標楷體" w:hAnsi="標楷體"/>
          <w:sz w:val="24"/>
          <w:szCs w:val="24"/>
          <w:lang w:eastAsia="zh-TW"/>
        </w:rPr>
        <w:t>九</w:t>
      </w:r>
      <w:r w:rsidR="0094121A" w:rsidRPr="00FE2642">
        <w:rPr>
          <w:rFonts w:ascii="標楷體" w:eastAsia="標楷體" w:hAnsi="標楷體" w:cs="Times New Roman"/>
          <w:sz w:val="24"/>
          <w:szCs w:val="24"/>
          <w:lang w:eastAsia="zh-TW"/>
        </w:rPr>
        <w:t>)</w:t>
      </w:r>
      <w:r w:rsidR="0094121A" w:rsidRPr="00FE2642">
        <w:rPr>
          <w:rFonts w:ascii="標楷體" w:eastAsia="標楷體" w:hAnsi="標楷體"/>
          <w:sz w:val="24"/>
          <w:szCs w:val="24"/>
          <w:lang w:eastAsia="zh-TW"/>
        </w:rPr>
        <w:t>跨國企業在台經營之勞工法議題及風險</w:t>
      </w:r>
      <w:r w:rsidR="0094121A" w:rsidRPr="00FE2642">
        <w:rPr>
          <w:rFonts w:ascii="標楷體" w:eastAsia="標楷體" w:hAnsi="標楷體"/>
          <w:sz w:val="24"/>
          <w:szCs w:val="24"/>
          <w:lang w:eastAsia="zh-TW"/>
        </w:rPr>
        <w:t xml:space="preserve"> </w:t>
      </w:r>
    </w:p>
    <w:p w:rsidR="00F0421B" w:rsidRPr="00FE2642" w:rsidRDefault="00FE2642" w:rsidP="00FE2642">
      <w:pPr>
        <w:spacing w:line="272" w:lineRule="auto"/>
        <w:ind w:left="545" w:right="114" w:hanging="425"/>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94121A" w:rsidRPr="00FE2642">
        <w:rPr>
          <w:rFonts w:ascii="標楷體" w:eastAsia="標楷體" w:hAnsi="標楷體" w:cs="Times New Roman"/>
          <w:sz w:val="24"/>
          <w:szCs w:val="24"/>
          <w:lang w:eastAsia="zh-TW"/>
        </w:rPr>
        <w:t>(</w:t>
      </w:r>
      <w:r w:rsidR="0094121A" w:rsidRPr="00FE2642">
        <w:rPr>
          <w:rFonts w:ascii="標楷體" w:eastAsia="標楷體" w:hAnsi="標楷體"/>
          <w:sz w:val="24"/>
          <w:szCs w:val="24"/>
          <w:lang w:eastAsia="zh-TW"/>
        </w:rPr>
        <w:t>十</w:t>
      </w:r>
      <w:r w:rsidR="0094121A" w:rsidRPr="00FE2642">
        <w:rPr>
          <w:rFonts w:ascii="標楷體" w:eastAsia="標楷體" w:hAnsi="標楷體" w:cs="Times New Roman"/>
          <w:sz w:val="24"/>
          <w:szCs w:val="24"/>
          <w:lang w:eastAsia="zh-TW"/>
        </w:rPr>
        <w:t>)</w:t>
      </w:r>
      <w:r w:rsidR="0094121A" w:rsidRPr="00FE2642">
        <w:rPr>
          <w:rFonts w:ascii="標楷體" w:eastAsia="標楷體" w:hAnsi="標楷體"/>
          <w:sz w:val="24"/>
          <w:szCs w:val="24"/>
          <w:lang w:eastAsia="zh-TW"/>
        </w:rPr>
        <w:t>國際企業在台刑事法律風險及國際企業法律因應策略</w:t>
      </w:r>
    </w:p>
    <w:p w:rsidR="00F0421B" w:rsidRDefault="00FE2642" w:rsidP="00FE2642">
      <w:pPr>
        <w:pStyle w:val="a3"/>
        <w:spacing w:before="7"/>
        <w:ind w:left="0"/>
        <w:rPr>
          <w:lang w:eastAsia="zh-TW"/>
        </w:rPr>
      </w:pPr>
      <w:r>
        <w:rPr>
          <w:rFonts w:asciiTheme="minorEastAsia" w:eastAsiaTheme="minorEastAsia" w:hAnsiTheme="minorEastAsia" w:cs="Times New Roman" w:hint="eastAsia"/>
          <w:spacing w:val="-1"/>
          <w:lang w:eastAsia="zh-TW"/>
        </w:rPr>
        <w:t xml:space="preserve">        </w:t>
      </w:r>
      <w:r w:rsidR="0094121A">
        <w:rPr>
          <w:rFonts w:ascii="Times New Roman" w:eastAsia="Times New Roman" w:hAnsi="Times New Roman" w:cs="Times New Roman"/>
          <w:spacing w:val="-1"/>
          <w:lang w:eastAsia="zh-TW"/>
        </w:rPr>
        <w:t>(</w:t>
      </w:r>
      <w:r w:rsidR="0094121A">
        <w:rPr>
          <w:spacing w:val="-1"/>
          <w:lang w:eastAsia="zh-TW"/>
        </w:rPr>
        <w:t>十一</w:t>
      </w:r>
      <w:r w:rsidR="0094121A">
        <w:rPr>
          <w:rFonts w:ascii="Times New Roman" w:eastAsia="Times New Roman" w:hAnsi="Times New Roman" w:cs="Times New Roman"/>
          <w:spacing w:val="-1"/>
          <w:lang w:eastAsia="zh-TW"/>
        </w:rPr>
        <w:t>)</w:t>
      </w:r>
      <w:r w:rsidR="0094121A">
        <w:rPr>
          <w:spacing w:val="-1"/>
          <w:lang w:eastAsia="zh-TW"/>
        </w:rPr>
        <w:t>以</w:t>
      </w:r>
      <w:r w:rsidR="0094121A">
        <w:rPr>
          <w:spacing w:val="-60"/>
          <w:lang w:eastAsia="zh-TW"/>
        </w:rPr>
        <w:t xml:space="preserve"> </w:t>
      </w:r>
      <w:r w:rsidR="0094121A">
        <w:rPr>
          <w:rFonts w:ascii="Times New Roman" w:eastAsia="Times New Roman" w:hAnsi="Times New Roman" w:cs="Times New Roman"/>
          <w:spacing w:val="-1"/>
          <w:lang w:eastAsia="zh-TW"/>
        </w:rPr>
        <w:t>ChatGPT</w:t>
      </w:r>
      <w:r w:rsidR="0094121A">
        <w:rPr>
          <w:rFonts w:ascii="Times New Roman" w:eastAsia="Times New Roman" w:hAnsi="Times New Roman" w:cs="Times New Roman"/>
          <w:spacing w:val="-9"/>
          <w:lang w:eastAsia="zh-TW"/>
        </w:rPr>
        <w:t xml:space="preserve"> </w:t>
      </w:r>
      <w:r w:rsidR="0094121A">
        <w:rPr>
          <w:lang w:eastAsia="zh-TW"/>
        </w:rPr>
        <w:t>協助國際企業分析企業經營法律風險及因應策略</w:t>
      </w:r>
    </w:p>
    <w:p w:rsidR="00F0421B" w:rsidRDefault="00FE2642" w:rsidP="00FE2642">
      <w:pPr>
        <w:pStyle w:val="a3"/>
        <w:ind w:left="0"/>
        <w:rPr>
          <w:lang w:eastAsia="zh-TW"/>
        </w:rPr>
      </w:pPr>
      <w:r>
        <w:rPr>
          <w:rFonts w:asciiTheme="minorEastAsia" w:eastAsiaTheme="minorEastAsia" w:hAnsiTheme="minorEastAsia" w:cs="Times New Roman" w:hint="eastAsia"/>
          <w:lang w:eastAsia="zh-TW"/>
        </w:rPr>
        <w:t xml:space="preserve">        </w:t>
      </w:r>
      <w:r w:rsidR="0094121A">
        <w:rPr>
          <w:rFonts w:ascii="Times New Roman" w:eastAsia="Times New Roman" w:hAnsi="Times New Roman" w:cs="Times New Roman"/>
          <w:lang w:eastAsia="zh-TW"/>
        </w:rPr>
        <w:t>(</w:t>
      </w:r>
      <w:r w:rsidR="0094121A">
        <w:rPr>
          <w:lang w:eastAsia="zh-TW"/>
        </w:rPr>
        <w:t>十二</w:t>
      </w:r>
      <w:r w:rsidR="0094121A">
        <w:rPr>
          <w:rFonts w:ascii="Times New Roman" w:eastAsia="Times New Roman" w:hAnsi="Times New Roman" w:cs="Times New Roman"/>
          <w:lang w:eastAsia="zh-TW"/>
        </w:rPr>
        <w:t>)</w:t>
      </w:r>
      <w:r w:rsidR="0094121A">
        <w:rPr>
          <w:lang w:eastAsia="zh-TW"/>
        </w:rPr>
        <w:t>認識歐盟人工智慧法</w:t>
      </w:r>
    </w:p>
    <w:p w:rsidR="00F0421B" w:rsidRPr="00F73454" w:rsidRDefault="00F73454">
      <w:pPr>
        <w:spacing w:before="9"/>
        <w:rPr>
          <w:rFonts w:ascii="標楷體" w:eastAsia="標楷體" w:hAnsi="標楷體" w:cs="標楷體"/>
          <w:b/>
          <w:sz w:val="24"/>
          <w:szCs w:val="24"/>
          <w:lang w:eastAsia="zh-TW"/>
        </w:rPr>
      </w:pPr>
      <w:r w:rsidRPr="00F73454">
        <w:rPr>
          <w:rFonts w:ascii="標楷體" w:eastAsia="標楷體" w:hAnsi="標楷體" w:cs="標楷體" w:hint="eastAsia"/>
          <w:b/>
          <w:sz w:val="24"/>
          <w:szCs w:val="24"/>
          <w:lang w:eastAsia="zh-TW"/>
        </w:rPr>
        <w:t>第二部分：進階課程</w:t>
      </w:r>
    </w:p>
    <w:p w:rsidR="00F0421B" w:rsidRDefault="00F73454">
      <w:pPr>
        <w:pStyle w:val="1"/>
        <w:spacing w:line="275" w:lineRule="auto"/>
        <w:ind w:left="545" w:right="124" w:hanging="425"/>
        <w:jc w:val="both"/>
        <w:rPr>
          <w:b w:val="0"/>
          <w:bCs w:val="0"/>
          <w:lang w:eastAsia="zh-TW"/>
        </w:rPr>
      </w:pPr>
      <w:r>
        <w:rPr>
          <w:rFonts w:hint="eastAsia"/>
          <w:spacing w:val="2"/>
          <w:w w:val="95"/>
          <w:lang w:eastAsia="zh-TW"/>
        </w:rPr>
        <w:t>一</w:t>
      </w:r>
      <w:r w:rsidR="0094121A">
        <w:rPr>
          <w:spacing w:val="2"/>
          <w:w w:val="95"/>
          <w:lang w:eastAsia="zh-TW"/>
        </w:rPr>
        <w:t>、國際經貿談判法律專題討論及實務：此部分係以我國參與國際商務之各類</w:t>
      </w:r>
      <w:r w:rsidR="0094121A">
        <w:rPr>
          <w:spacing w:val="4"/>
          <w:w w:val="95"/>
          <w:lang w:eastAsia="zh-TW"/>
        </w:rPr>
        <w:t>企業需求為核心，對國際企業經營法律風險與因應策略進行介紹，包括但</w:t>
      </w:r>
      <w:r w:rsidR="0094121A">
        <w:rPr>
          <w:lang w:eastAsia="zh-TW"/>
        </w:rPr>
        <w:t>不限於下列主題：</w:t>
      </w:r>
    </w:p>
    <w:p w:rsidR="00F0421B" w:rsidRDefault="0094121A">
      <w:pPr>
        <w:pStyle w:val="a3"/>
        <w:spacing w:before="11"/>
        <w:ind w:left="600"/>
        <w:rPr>
          <w:lang w:eastAsia="zh-TW"/>
        </w:rPr>
      </w:pPr>
      <w:r>
        <w:rPr>
          <w:rFonts w:ascii="Times New Roman" w:eastAsia="Times New Roman" w:hAnsi="Times New Roman" w:cs="Times New Roman"/>
          <w:spacing w:val="-1"/>
          <w:lang w:eastAsia="zh-TW"/>
        </w:rPr>
        <w:t>(</w:t>
      </w:r>
      <w:r>
        <w:rPr>
          <w:spacing w:val="-1"/>
          <w:lang w:eastAsia="zh-TW"/>
        </w:rPr>
        <w:t>一</w:t>
      </w:r>
      <w:r>
        <w:rPr>
          <w:rFonts w:ascii="Times New Roman" w:eastAsia="Times New Roman" w:hAnsi="Times New Roman" w:cs="Times New Roman"/>
          <w:spacing w:val="-1"/>
          <w:lang w:eastAsia="zh-TW"/>
        </w:rPr>
        <w:t>)</w:t>
      </w:r>
      <w:r>
        <w:rPr>
          <w:rFonts w:ascii="Times New Roman" w:eastAsia="Times New Roman" w:hAnsi="Times New Roman" w:cs="Times New Roman"/>
          <w:spacing w:val="20"/>
          <w:lang w:eastAsia="zh-TW"/>
        </w:rPr>
        <w:t xml:space="preserve"> </w:t>
      </w:r>
      <w:r>
        <w:rPr>
          <w:lang w:eastAsia="zh-TW"/>
        </w:rPr>
        <w:t>國際經貿法案件研析</w:t>
      </w:r>
    </w:p>
    <w:p w:rsidR="00F0421B" w:rsidRDefault="0094121A">
      <w:pPr>
        <w:pStyle w:val="a3"/>
        <w:ind w:left="600"/>
        <w:rPr>
          <w:lang w:eastAsia="zh-TW"/>
        </w:rPr>
      </w:pPr>
      <w:r>
        <w:rPr>
          <w:rFonts w:ascii="Times New Roman" w:eastAsia="Times New Roman" w:hAnsi="Times New Roman" w:cs="Times New Roman"/>
          <w:spacing w:val="-1"/>
          <w:lang w:eastAsia="zh-TW"/>
        </w:rPr>
        <w:t>(</w:t>
      </w:r>
      <w:r>
        <w:rPr>
          <w:spacing w:val="-1"/>
          <w:lang w:eastAsia="zh-TW"/>
        </w:rPr>
        <w:t>二</w:t>
      </w:r>
      <w:r>
        <w:rPr>
          <w:rFonts w:ascii="Times New Roman" w:eastAsia="Times New Roman" w:hAnsi="Times New Roman" w:cs="Times New Roman"/>
          <w:spacing w:val="-1"/>
          <w:lang w:eastAsia="zh-TW"/>
        </w:rPr>
        <w:t>)</w:t>
      </w:r>
      <w:r>
        <w:rPr>
          <w:rFonts w:ascii="Times New Roman" w:eastAsia="Times New Roman" w:hAnsi="Times New Roman" w:cs="Times New Roman"/>
          <w:spacing w:val="20"/>
          <w:lang w:eastAsia="zh-TW"/>
        </w:rPr>
        <w:t xml:space="preserve"> </w:t>
      </w:r>
      <w:r>
        <w:rPr>
          <w:lang w:eastAsia="zh-TW"/>
        </w:rPr>
        <w:t>亞洲及國際法律學群關於國際經濟法學之專題研討會</w:t>
      </w:r>
    </w:p>
    <w:p w:rsidR="00F0421B" w:rsidRDefault="0094121A">
      <w:pPr>
        <w:pStyle w:val="a3"/>
        <w:ind w:left="600"/>
        <w:rPr>
          <w:lang w:eastAsia="zh-TW"/>
        </w:rPr>
      </w:pPr>
      <w:r>
        <w:rPr>
          <w:rFonts w:ascii="Times New Roman" w:eastAsia="Times New Roman" w:hAnsi="Times New Roman" w:cs="Times New Roman"/>
          <w:spacing w:val="-1"/>
          <w:lang w:eastAsia="zh-TW"/>
        </w:rPr>
        <w:t>(</w:t>
      </w:r>
      <w:r>
        <w:rPr>
          <w:spacing w:val="-1"/>
          <w:lang w:eastAsia="zh-TW"/>
        </w:rPr>
        <w:t>三</w:t>
      </w:r>
      <w:r>
        <w:rPr>
          <w:rFonts w:ascii="Times New Roman" w:eastAsia="Times New Roman" w:hAnsi="Times New Roman" w:cs="Times New Roman"/>
          <w:spacing w:val="-1"/>
          <w:lang w:eastAsia="zh-TW"/>
        </w:rPr>
        <w:t xml:space="preserve">) </w:t>
      </w:r>
      <w:r>
        <w:rPr>
          <w:lang w:eastAsia="zh-TW"/>
        </w:rPr>
        <w:t>國際經貿談判會議語言、文書撰擬、論點建立與策略</w:t>
      </w:r>
    </w:p>
    <w:p w:rsidR="00F0421B" w:rsidRDefault="00F0421B">
      <w:pPr>
        <w:spacing w:before="9"/>
        <w:rPr>
          <w:rFonts w:ascii="標楷體" w:eastAsia="標楷體" w:hAnsi="標楷體" w:cs="標楷體"/>
          <w:sz w:val="30"/>
          <w:szCs w:val="30"/>
          <w:lang w:eastAsia="zh-TW"/>
        </w:rPr>
      </w:pPr>
    </w:p>
    <w:p w:rsidR="00FE2642" w:rsidRDefault="00F73454">
      <w:pPr>
        <w:spacing w:line="275" w:lineRule="auto"/>
        <w:ind w:left="540" w:hanging="420"/>
        <w:rPr>
          <w:rFonts w:ascii="標楷體" w:eastAsia="標楷體" w:hAnsi="標楷體" w:cs="標楷體"/>
          <w:b/>
          <w:bCs/>
          <w:spacing w:val="24"/>
          <w:w w:val="99"/>
          <w:sz w:val="24"/>
          <w:szCs w:val="24"/>
          <w:lang w:eastAsia="zh-TW"/>
        </w:rPr>
      </w:pPr>
      <w:r>
        <w:rPr>
          <w:rFonts w:ascii="標楷體" w:eastAsia="標楷體" w:hAnsi="標楷體" w:cs="標楷體" w:hint="eastAsia"/>
          <w:b/>
          <w:bCs/>
          <w:spacing w:val="2"/>
          <w:w w:val="95"/>
          <w:sz w:val="24"/>
          <w:szCs w:val="24"/>
          <w:lang w:eastAsia="zh-TW"/>
        </w:rPr>
        <w:t>二</w:t>
      </w:r>
      <w:r w:rsidR="0094121A">
        <w:rPr>
          <w:rFonts w:ascii="標楷體" w:eastAsia="標楷體" w:hAnsi="標楷體" w:cs="標楷體"/>
          <w:b/>
          <w:bCs/>
          <w:spacing w:val="2"/>
          <w:w w:val="95"/>
          <w:sz w:val="24"/>
          <w:szCs w:val="24"/>
          <w:lang w:eastAsia="zh-TW"/>
        </w:rPr>
        <w:t>、其他國際經貿談判法律新興或跨領域議題：此部分係就國際經貿談判法律</w:t>
      </w:r>
      <w:r w:rsidR="0094121A">
        <w:rPr>
          <w:rFonts w:ascii="標楷體" w:eastAsia="標楷體" w:hAnsi="標楷體" w:cs="標楷體"/>
          <w:b/>
          <w:bCs/>
          <w:spacing w:val="38"/>
          <w:w w:val="99"/>
          <w:sz w:val="24"/>
          <w:szCs w:val="24"/>
          <w:lang w:eastAsia="zh-TW"/>
        </w:rPr>
        <w:t xml:space="preserve"> </w:t>
      </w:r>
      <w:r w:rsidR="0094121A">
        <w:rPr>
          <w:rFonts w:ascii="標楷體" w:eastAsia="標楷體" w:hAnsi="標楷體" w:cs="標楷體"/>
          <w:b/>
          <w:bCs/>
          <w:spacing w:val="5"/>
          <w:sz w:val="24"/>
          <w:szCs w:val="24"/>
          <w:lang w:eastAsia="zh-TW"/>
        </w:rPr>
        <w:t>最新發展或跨領域議題之介紹，俾使我國律師掌握最新國際經貿法律領域</w:t>
      </w:r>
      <w:r w:rsidR="0094121A">
        <w:rPr>
          <w:rFonts w:ascii="標楷體" w:eastAsia="標楷體" w:hAnsi="標楷體" w:cs="標楷體"/>
          <w:b/>
          <w:bCs/>
          <w:spacing w:val="32"/>
          <w:w w:val="99"/>
          <w:sz w:val="24"/>
          <w:szCs w:val="24"/>
          <w:lang w:eastAsia="zh-TW"/>
        </w:rPr>
        <w:t xml:space="preserve"> </w:t>
      </w:r>
      <w:r w:rsidR="0094121A">
        <w:rPr>
          <w:rFonts w:ascii="標楷體" w:eastAsia="標楷體" w:hAnsi="標楷體" w:cs="標楷體"/>
          <w:b/>
          <w:bCs/>
          <w:sz w:val="24"/>
          <w:szCs w:val="24"/>
          <w:lang w:eastAsia="zh-TW"/>
        </w:rPr>
        <w:t>議題及我國之策略，包括但不限於下列主題：</w:t>
      </w:r>
      <w:r w:rsidR="0094121A">
        <w:rPr>
          <w:rFonts w:ascii="標楷體" w:eastAsia="標楷體" w:hAnsi="標楷體" w:cs="標楷體"/>
          <w:b/>
          <w:bCs/>
          <w:spacing w:val="24"/>
          <w:w w:val="99"/>
          <w:sz w:val="24"/>
          <w:szCs w:val="24"/>
          <w:lang w:eastAsia="zh-TW"/>
        </w:rPr>
        <w:t xml:space="preserve"> </w:t>
      </w:r>
    </w:p>
    <w:p w:rsidR="00F0421B" w:rsidRDefault="00FE2642">
      <w:pPr>
        <w:spacing w:line="275" w:lineRule="auto"/>
        <w:ind w:left="540" w:hanging="420"/>
        <w:rPr>
          <w:rFonts w:ascii="標楷體" w:eastAsia="標楷體" w:hAnsi="標楷體" w:cs="標楷體"/>
          <w:sz w:val="24"/>
          <w:szCs w:val="24"/>
          <w:lang w:eastAsia="zh-TW"/>
        </w:rPr>
      </w:pPr>
      <w:r>
        <w:rPr>
          <w:rFonts w:ascii="標楷體" w:eastAsia="標楷體" w:hAnsi="標楷體" w:cs="標楷體" w:hint="eastAsia"/>
          <w:b/>
          <w:bCs/>
          <w:spacing w:val="2"/>
          <w:w w:val="95"/>
          <w:sz w:val="24"/>
          <w:szCs w:val="24"/>
          <w:lang w:eastAsia="zh-TW"/>
        </w:rPr>
        <w:t xml:space="preserve">    </w:t>
      </w:r>
      <w:r w:rsidR="0094121A">
        <w:rPr>
          <w:rFonts w:ascii="Times New Roman" w:eastAsia="Times New Roman" w:hAnsi="Times New Roman" w:cs="Times New Roman"/>
          <w:spacing w:val="1"/>
          <w:sz w:val="24"/>
          <w:szCs w:val="24"/>
          <w:lang w:eastAsia="zh-TW"/>
        </w:rPr>
        <w:t>(</w:t>
      </w:r>
      <w:r w:rsidR="0094121A">
        <w:rPr>
          <w:rFonts w:ascii="標楷體" w:eastAsia="標楷體" w:hAnsi="標楷體" w:cs="標楷體"/>
          <w:spacing w:val="1"/>
          <w:sz w:val="24"/>
          <w:szCs w:val="24"/>
          <w:lang w:eastAsia="zh-TW"/>
        </w:rPr>
        <w:t>一</w:t>
      </w:r>
      <w:r w:rsidR="0094121A">
        <w:rPr>
          <w:rFonts w:ascii="Times New Roman" w:eastAsia="Times New Roman" w:hAnsi="Times New Roman" w:cs="Times New Roman"/>
          <w:spacing w:val="1"/>
          <w:sz w:val="24"/>
          <w:szCs w:val="24"/>
          <w:lang w:eastAsia="zh-TW"/>
        </w:rPr>
        <w:t>)</w:t>
      </w:r>
      <w:r w:rsidR="0094121A">
        <w:rPr>
          <w:rFonts w:ascii="標楷體" w:eastAsia="標楷體" w:hAnsi="標楷體" w:cs="標楷體"/>
          <w:spacing w:val="1"/>
          <w:sz w:val="24"/>
          <w:szCs w:val="24"/>
          <w:lang w:eastAsia="zh-TW"/>
        </w:rPr>
        <w:t>臺美二十一世紀貿易倡議近期議題研析：貿易便捷化、良好法制作業、</w:t>
      </w:r>
    </w:p>
    <w:p w:rsidR="00F0421B" w:rsidRDefault="0094121A">
      <w:pPr>
        <w:pStyle w:val="a3"/>
        <w:spacing w:before="3" w:line="275" w:lineRule="auto"/>
        <w:ind w:left="970"/>
        <w:rPr>
          <w:lang w:eastAsia="zh-TW"/>
        </w:rPr>
      </w:pPr>
      <w:r>
        <w:rPr>
          <w:spacing w:val="7"/>
          <w:lang w:eastAsia="zh-TW"/>
        </w:rPr>
        <w:t>農業、反貪腐、中小企業貿易、數位貿易、勞工、支持環境及氣候行</w:t>
      </w:r>
      <w:r>
        <w:rPr>
          <w:spacing w:val="52"/>
          <w:lang w:eastAsia="zh-TW"/>
        </w:rPr>
        <w:t xml:space="preserve"> </w:t>
      </w:r>
      <w:r>
        <w:rPr>
          <w:lang w:eastAsia="zh-TW"/>
        </w:rPr>
        <w:t>動</w:t>
      </w:r>
      <w:r>
        <w:rPr>
          <w:spacing w:val="-60"/>
          <w:lang w:eastAsia="zh-TW"/>
        </w:rPr>
        <w:t xml:space="preserve"> </w:t>
      </w:r>
      <w:r>
        <w:rPr>
          <w:lang w:eastAsia="zh-TW"/>
        </w:rPr>
        <w:t>、標準</w:t>
      </w:r>
      <w:r>
        <w:rPr>
          <w:spacing w:val="-60"/>
          <w:lang w:eastAsia="zh-TW"/>
        </w:rPr>
        <w:t xml:space="preserve"> </w:t>
      </w:r>
      <w:r>
        <w:rPr>
          <w:lang w:eastAsia="zh-TW"/>
        </w:rPr>
        <w:t>、國營事業、非市場經濟</w:t>
      </w:r>
    </w:p>
    <w:p w:rsidR="00F0421B" w:rsidRDefault="00F0421B">
      <w:pPr>
        <w:spacing w:before="5"/>
        <w:rPr>
          <w:rFonts w:ascii="標楷體" w:eastAsia="標楷體" w:hAnsi="標楷體" w:cs="標楷體"/>
          <w:sz w:val="28"/>
          <w:szCs w:val="28"/>
          <w:lang w:eastAsia="zh-TW"/>
        </w:rPr>
      </w:pPr>
    </w:p>
    <w:p w:rsidR="00FE2642" w:rsidRDefault="0094121A">
      <w:pPr>
        <w:pStyle w:val="a3"/>
        <w:spacing w:before="0" w:line="275" w:lineRule="auto"/>
        <w:ind w:left="540" w:hanging="420"/>
        <w:rPr>
          <w:rFonts w:cs="標楷體"/>
          <w:b/>
          <w:bCs/>
          <w:spacing w:val="22"/>
          <w:w w:val="99"/>
          <w:lang w:eastAsia="zh-TW"/>
        </w:rPr>
      </w:pPr>
      <w:r>
        <w:rPr>
          <w:rFonts w:cs="標楷體"/>
          <w:b/>
          <w:bCs/>
          <w:lang w:eastAsia="zh-TW"/>
        </w:rPr>
        <w:t>肆、課程規則</w:t>
      </w:r>
      <w:r>
        <w:rPr>
          <w:rFonts w:cs="標楷體"/>
          <w:b/>
          <w:bCs/>
          <w:spacing w:val="22"/>
          <w:w w:val="99"/>
          <w:lang w:eastAsia="zh-TW"/>
        </w:rPr>
        <w:t xml:space="preserve"> </w:t>
      </w:r>
    </w:p>
    <w:p w:rsidR="00FE2642" w:rsidRDefault="00FE2642">
      <w:pPr>
        <w:pStyle w:val="a3"/>
        <w:spacing w:before="0" w:line="275" w:lineRule="auto"/>
        <w:ind w:left="540" w:hanging="420"/>
        <w:rPr>
          <w:lang w:eastAsia="zh-TW"/>
        </w:rPr>
      </w:pPr>
      <w:r>
        <w:rPr>
          <w:rFonts w:cs="標楷體" w:hint="eastAsia"/>
          <w:b/>
          <w:bCs/>
          <w:spacing w:val="22"/>
          <w:w w:val="99"/>
          <w:lang w:eastAsia="zh-TW"/>
        </w:rPr>
        <w:t xml:space="preserve">   </w:t>
      </w:r>
      <w:r w:rsidR="0094121A">
        <w:rPr>
          <w:spacing w:val="5"/>
          <w:lang w:eastAsia="zh-TW"/>
        </w:rPr>
        <w:t>個人會員參加本課綱之課程或其他經全國律師聯合會認定符合課綱之專業</w:t>
      </w:r>
      <w:r w:rsidR="0094121A">
        <w:rPr>
          <w:spacing w:val="28"/>
          <w:lang w:eastAsia="zh-TW"/>
        </w:rPr>
        <w:t xml:space="preserve"> </w:t>
      </w:r>
      <w:r w:rsidR="0094121A">
        <w:rPr>
          <w:spacing w:val="5"/>
          <w:lang w:eastAsia="zh-TW"/>
        </w:rPr>
        <w:t>領域進修課程，且符合下列條件之一者，得向全國律師聯合會請領「國際</w:t>
      </w:r>
      <w:r w:rsidR="0094121A">
        <w:rPr>
          <w:spacing w:val="57"/>
          <w:lang w:eastAsia="zh-TW"/>
        </w:rPr>
        <w:t xml:space="preserve"> </w:t>
      </w:r>
      <w:r w:rsidR="0094121A">
        <w:rPr>
          <w:lang w:eastAsia="zh-TW"/>
        </w:rPr>
        <w:lastRenderedPageBreak/>
        <w:t>經貿談判法律專業領域」進修證明：</w:t>
      </w:r>
      <w:r w:rsidR="0094121A">
        <w:rPr>
          <w:lang w:eastAsia="zh-TW"/>
        </w:rPr>
        <w:t xml:space="preserve"> </w:t>
      </w:r>
    </w:p>
    <w:p w:rsidR="00FE2642" w:rsidRDefault="00FE2642">
      <w:pPr>
        <w:pStyle w:val="a3"/>
        <w:spacing w:before="0" w:line="275" w:lineRule="auto"/>
        <w:ind w:left="540" w:hanging="420"/>
        <w:rPr>
          <w:lang w:eastAsia="zh-TW"/>
        </w:rPr>
      </w:pPr>
      <w:r>
        <w:rPr>
          <w:rFonts w:hint="eastAsia"/>
          <w:lang w:eastAsia="zh-TW"/>
        </w:rPr>
        <w:t xml:space="preserve">    </w:t>
      </w:r>
      <w:r w:rsidR="0094121A">
        <w:rPr>
          <w:lang w:eastAsia="zh-TW"/>
        </w:rPr>
        <w:t>一、參加同一專業領域進修科目之課程，一年內達四十小時以上者。</w:t>
      </w:r>
      <w:r w:rsidR="0094121A">
        <w:rPr>
          <w:lang w:eastAsia="zh-TW"/>
        </w:rPr>
        <w:t xml:space="preserve"> </w:t>
      </w:r>
    </w:p>
    <w:p w:rsidR="00F73454" w:rsidRDefault="00FE2642" w:rsidP="00F73454">
      <w:pPr>
        <w:pStyle w:val="a3"/>
        <w:spacing w:before="0" w:line="275" w:lineRule="auto"/>
        <w:ind w:left="540" w:hanging="420"/>
        <w:rPr>
          <w:lang w:eastAsia="zh-TW"/>
        </w:rPr>
      </w:pPr>
      <w:r>
        <w:rPr>
          <w:rFonts w:hint="eastAsia"/>
          <w:lang w:eastAsia="zh-TW"/>
        </w:rPr>
        <w:t xml:space="preserve">    </w:t>
      </w:r>
      <w:r w:rsidR="0094121A">
        <w:rPr>
          <w:lang w:eastAsia="zh-TW"/>
        </w:rPr>
        <w:t>二、參加同一專業領域進修科目之課程，二年內達六十小時以上者。</w:t>
      </w:r>
    </w:p>
    <w:p w:rsidR="00FE2642" w:rsidRDefault="00F73454" w:rsidP="00F73454">
      <w:pPr>
        <w:pStyle w:val="a3"/>
        <w:spacing w:before="0" w:line="275" w:lineRule="auto"/>
        <w:ind w:left="540" w:hanging="420"/>
        <w:rPr>
          <w:lang w:eastAsia="zh-TW"/>
        </w:rPr>
      </w:pPr>
      <w:r>
        <w:rPr>
          <w:rFonts w:hint="eastAsia"/>
          <w:lang w:eastAsia="zh-TW"/>
        </w:rPr>
        <w:t xml:space="preserve">    </w:t>
      </w:r>
      <w:r w:rsidR="0094121A">
        <w:rPr>
          <w:lang w:eastAsia="zh-TW"/>
        </w:rPr>
        <w:t>三</w:t>
      </w:r>
      <w:r w:rsidR="0094121A">
        <w:rPr>
          <w:lang w:eastAsia="zh-TW"/>
        </w:rPr>
        <w:t>、參加</w:t>
      </w:r>
      <w:r w:rsidR="0094121A">
        <w:rPr>
          <w:lang w:eastAsia="zh-TW"/>
        </w:rPr>
        <w:t>同一專業領域進修科目之課程，三年內達八十小時以上者。</w:t>
      </w:r>
      <w:r w:rsidR="0094121A">
        <w:rPr>
          <w:lang w:eastAsia="zh-TW"/>
        </w:rPr>
        <w:t xml:space="preserve"> </w:t>
      </w:r>
    </w:p>
    <w:p w:rsidR="00F0421B" w:rsidRDefault="0094121A">
      <w:pPr>
        <w:pStyle w:val="a3"/>
        <w:spacing w:before="7" w:line="275" w:lineRule="auto"/>
        <w:ind w:left="545" w:right="102" w:hanging="5"/>
        <w:rPr>
          <w:lang w:eastAsia="zh-TW"/>
        </w:rPr>
      </w:pPr>
      <w:r>
        <w:rPr>
          <w:spacing w:val="5"/>
          <w:lang w:eastAsia="zh-TW"/>
        </w:rPr>
        <w:t>前項所稱一年，以個人會員參加該專業領域進修課程第一次授課期日起算。</w:t>
      </w:r>
      <w:r>
        <w:rPr>
          <w:spacing w:val="25"/>
          <w:lang w:eastAsia="zh-TW"/>
        </w:rPr>
        <w:t xml:space="preserve"> </w:t>
      </w:r>
      <w:r>
        <w:rPr>
          <w:spacing w:val="5"/>
          <w:lang w:eastAsia="zh-TW"/>
        </w:rPr>
        <w:t>其時數之採計標準，適用全國律師聯合會「律師在職進修辦法」第四條規</w:t>
      </w:r>
      <w:r>
        <w:rPr>
          <w:spacing w:val="28"/>
          <w:lang w:eastAsia="zh-TW"/>
        </w:rPr>
        <w:t xml:space="preserve"> </w:t>
      </w:r>
      <w:r>
        <w:rPr>
          <w:spacing w:val="5"/>
          <w:lang w:eastAsia="zh-TW"/>
        </w:rPr>
        <w:t>定。個人會員參加專業領域進修課程，應全程參與。課程每節一小時，經</w:t>
      </w:r>
      <w:r>
        <w:rPr>
          <w:spacing w:val="28"/>
          <w:lang w:eastAsia="zh-TW"/>
        </w:rPr>
        <w:t xml:space="preserve"> </w:t>
      </w:r>
      <w:r>
        <w:rPr>
          <w:lang w:eastAsia="zh-TW"/>
        </w:rPr>
        <w:t>查證遲到或離席超過十五分鐘者，該節不採計時數。</w:t>
      </w:r>
    </w:p>
    <w:sectPr w:rsidR="00F0421B">
      <w:footerReference w:type="default" r:id="rId6"/>
      <w:pgSz w:w="11910" w:h="16840"/>
      <w:pgMar w:top="1400" w:right="1460" w:bottom="1420" w:left="1680" w:header="0" w:footer="12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121A">
      <w:r>
        <w:separator/>
      </w:r>
    </w:p>
  </w:endnote>
  <w:endnote w:type="continuationSeparator" w:id="0">
    <w:p w:rsidR="00000000" w:rsidRDefault="0094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21B" w:rsidRDefault="00560ACD">
    <w:pPr>
      <w:spacing w:line="14" w:lineRule="auto"/>
      <w:rPr>
        <w:sz w:val="20"/>
        <w:szCs w:val="20"/>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3723005</wp:posOffset>
              </wp:positionH>
              <wp:positionV relativeFrom="page">
                <wp:posOffset>9767570</wp:posOffset>
              </wp:positionV>
              <wp:extent cx="114935" cy="152400"/>
              <wp:effectExtent l="0" t="444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21B" w:rsidRDefault="0094121A">
                          <w:pPr>
                            <w:spacing w:line="223" w:lineRule="exact"/>
                            <w:ind w:left="40"/>
                            <w:rPr>
                              <w:rFonts w:ascii="Calibri" w:eastAsia="Calibri" w:hAnsi="Calibri" w:cs="Calibri"/>
                              <w:sz w:val="20"/>
                              <w:szCs w:val="20"/>
                            </w:rPr>
                          </w:pPr>
                          <w:r>
                            <w:fldChar w:fldCharType="begin"/>
                          </w:r>
                          <w:r>
                            <w:rPr>
                              <w:rFonts w:ascii="Calibri"/>
                              <w:sz w:val="20"/>
                            </w:rPr>
                            <w:instrText xml:space="preserve"> PAGE </w:instrText>
                          </w:r>
                          <w:r>
                            <w:fldChar w:fldCharType="separate"/>
                          </w:r>
                          <w:r>
                            <w:rPr>
                              <w:rFonts w:ascii="Calibr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769.1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uo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" filled="f" stroked="f">
              <v:textbox inset="0,0,0,0">
                <w:txbxContent>
                  <w:p w:rsidR="00F0421B" w:rsidRDefault="0094121A">
                    <w:pPr>
                      <w:spacing w:line="223" w:lineRule="exact"/>
                      <w:ind w:left="40"/>
                      <w:rPr>
                        <w:rFonts w:ascii="Calibri" w:eastAsia="Calibri" w:hAnsi="Calibri" w:cs="Calibri"/>
                        <w:sz w:val="20"/>
                        <w:szCs w:val="20"/>
                      </w:rPr>
                    </w:pPr>
                    <w:r>
                      <w:fldChar w:fldCharType="begin"/>
                    </w:r>
                    <w:r>
                      <w:rPr>
                        <w:rFonts w:ascii="Calibri"/>
                        <w:sz w:val="20"/>
                      </w:rPr>
                      <w:instrText xml:space="preserve"> PAGE </w:instrText>
                    </w:r>
                    <w:r>
                      <w:fldChar w:fldCharType="separate"/>
                    </w:r>
                    <w:r>
                      <w:rPr>
                        <w:rFonts w:ascii="Calibri"/>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121A">
      <w:r>
        <w:separator/>
      </w:r>
    </w:p>
  </w:footnote>
  <w:footnote w:type="continuationSeparator" w:id="0">
    <w:p w:rsidR="00000000" w:rsidRDefault="00941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1B"/>
    <w:rsid w:val="001707FC"/>
    <w:rsid w:val="004A7040"/>
    <w:rsid w:val="00560ACD"/>
    <w:rsid w:val="0056240B"/>
    <w:rsid w:val="00600095"/>
    <w:rsid w:val="00784545"/>
    <w:rsid w:val="0094121A"/>
    <w:rsid w:val="00AA59C0"/>
    <w:rsid w:val="00C775B9"/>
    <w:rsid w:val="00F0421B"/>
    <w:rsid w:val="00F73454"/>
    <w:rsid w:val="00FE26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0623F"/>
  <w15:docId w15:val="{6B0283ED-3491-42D3-BD0A-31AD32B3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20"/>
      <w:outlineLvl w:val="0"/>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2"/>
      <w:ind w:left="602"/>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E2642"/>
    <w:pPr>
      <w:tabs>
        <w:tab w:val="center" w:pos="4153"/>
        <w:tab w:val="right" w:pos="8306"/>
      </w:tabs>
      <w:snapToGrid w:val="0"/>
    </w:pPr>
    <w:rPr>
      <w:sz w:val="20"/>
      <w:szCs w:val="20"/>
    </w:rPr>
  </w:style>
  <w:style w:type="character" w:customStyle="1" w:styleId="a6">
    <w:name w:val="頁首 字元"/>
    <w:basedOn w:val="a0"/>
    <w:link w:val="a5"/>
    <w:uiPriority w:val="99"/>
    <w:rsid w:val="00FE2642"/>
    <w:rPr>
      <w:sz w:val="20"/>
      <w:szCs w:val="20"/>
    </w:rPr>
  </w:style>
  <w:style w:type="paragraph" w:styleId="a7">
    <w:name w:val="footer"/>
    <w:basedOn w:val="a"/>
    <w:link w:val="a8"/>
    <w:uiPriority w:val="99"/>
    <w:unhideWhenUsed/>
    <w:rsid w:val="00FE2642"/>
    <w:pPr>
      <w:tabs>
        <w:tab w:val="center" w:pos="4153"/>
        <w:tab w:val="right" w:pos="8306"/>
      </w:tabs>
      <w:snapToGrid w:val="0"/>
    </w:pPr>
    <w:rPr>
      <w:sz w:val="20"/>
      <w:szCs w:val="20"/>
    </w:rPr>
  </w:style>
  <w:style w:type="character" w:customStyle="1" w:styleId="a8">
    <w:name w:val="頁尾 字元"/>
    <w:basedOn w:val="a0"/>
    <w:link w:val="a7"/>
    <w:uiPriority w:val="99"/>
    <w:rsid w:val="00FE26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志雄 蔡</dc:creator>
  <cp:lastModifiedBy>USER</cp:lastModifiedBy>
  <cp:revision>2</cp:revision>
  <cp:lastPrinted>2024-11-18T05:59:00Z</cp:lastPrinted>
  <dcterms:created xsi:type="dcterms:W3CDTF">2024-11-18T06:10:00Z</dcterms:created>
  <dcterms:modified xsi:type="dcterms:W3CDTF">2024-11-18T06:10:00Z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2024-06-23T00:00:00Z</vt:filetime>
  </property>
  <property fmtid="{D5CDD505-2E9C-101B-9397-08002B2CF9AE}" pid="3" name="LastSaved">
    <vt:filetime>2024-11-18T00:00:00Z</vt:filetime>
  </property>
</Properties>
</file>